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C20EF" w14:textId="77777777" w:rsidR="00404D08" w:rsidRDefault="00000000">
      <w:pPr>
        <w:pStyle w:val="Ttulo1"/>
        <w:spacing w:line="276" w:lineRule="auto"/>
        <w:ind w:left="567" w:hanging="567"/>
        <w:rPr>
          <w:rFonts w:asciiTheme="minorHAnsi" w:hAnsiTheme="minorHAnsi" w:cstheme="minorHAnsi"/>
          <w:color w:val="auto"/>
          <w:sz w:val="22"/>
          <w:szCs w:val="22"/>
        </w:rPr>
      </w:pPr>
      <w:r>
        <w:rPr>
          <w:rFonts w:asciiTheme="minorHAnsi" w:hAnsiTheme="minorHAnsi" w:cstheme="minorHAnsi"/>
          <w:noProof/>
          <w:color w:val="auto"/>
          <w:sz w:val="22"/>
          <w:szCs w:val="22"/>
        </w:rPr>
        <w:drawing>
          <wp:anchor distT="0" distB="0" distL="114300" distR="114300" simplePos="0" relativeHeight="251659264" behindDoc="0" locked="0" layoutInCell="1" allowOverlap="1" wp14:anchorId="028D798F" wp14:editId="087D2065">
            <wp:simplePos x="0" y="0"/>
            <wp:positionH relativeFrom="margin">
              <wp:posOffset>2770505</wp:posOffset>
            </wp:positionH>
            <wp:positionV relativeFrom="paragraph">
              <wp:posOffset>-427355</wp:posOffset>
            </wp:positionV>
            <wp:extent cx="640080" cy="619125"/>
            <wp:effectExtent l="0" t="0" r="762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40080" cy="619125"/>
                    </a:xfrm>
                    <a:prstGeom prst="rect">
                      <a:avLst/>
                    </a:prstGeom>
                    <a:noFill/>
                  </pic:spPr>
                </pic:pic>
              </a:graphicData>
            </a:graphic>
          </wp:anchor>
        </w:drawing>
      </w:r>
      <w:r>
        <w:rPr>
          <w:rFonts w:asciiTheme="minorHAnsi" w:hAnsiTheme="minorHAnsi" w:cstheme="minorHAnsi"/>
          <w:color w:val="auto"/>
          <w:sz w:val="22"/>
          <w:szCs w:val="22"/>
        </w:rPr>
        <w:tab/>
      </w:r>
    </w:p>
    <w:p w14:paraId="7448451E" w14:textId="77777777" w:rsidR="00404D08" w:rsidRDefault="00000000">
      <w:pPr>
        <w:tabs>
          <w:tab w:val="left" w:pos="6284"/>
        </w:tabs>
        <w:ind w:left="567" w:hanging="567"/>
        <w:jc w:val="center"/>
        <w:rPr>
          <w:rFonts w:asciiTheme="minorHAnsi" w:hAnsiTheme="minorHAnsi" w:cstheme="minorHAnsi"/>
          <w:b/>
          <w:bCs/>
          <w:sz w:val="22"/>
          <w:szCs w:val="22"/>
        </w:rPr>
      </w:pPr>
      <w:r>
        <w:rPr>
          <w:rFonts w:asciiTheme="minorHAnsi" w:hAnsiTheme="minorHAnsi" w:cstheme="minorHAnsi"/>
          <w:b/>
          <w:bCs/>
          <w:sz w:val="22"/>
          <w:szCs w:val="22"/>
        </w:rPr>
        <w:t>MINISTÉRIO DA EDUCAÇÃO</w:t>
      </w:r>
    </w:p>
    <w:p w14:paraId="13907701" w14:textId="77777777" w:rsidR="00404D08" w:rsidRDefault="00000000">
      <w:pPr>
        <w:pStyle w:val="Ttulo1"/>
        <w:spacing w:before="0"/>
        <w:ind w:left="567" w:hanging="567"/>
        <w:jc w:val="center"/>
        <w:rPr>
          <w:rFonts w:asciiTheme="minorHAnsi" w:hAnsiTheme="minorHAnsi" w:cstheme="minorHAnsi"/>
          <w:b/>
          <w:color w:val="auto"/>
          <w:sz w:val="22"/>
          <w:szCs w:val="22"/>
        </w:rPr>
      </w:pPr>
      <w:r>
        <w:rPr>
          <w:rFonts w:asciiTheme="minorHAnsi" w:hAnsiTheme="minorHAnsi" w:cstheme="minorHAnsi"/>
          <w:b/>
          <w:color w:val="auto"/>
          <w:sz w:val="22"/>
          <w:szCs w:val="22"/>
        </w:rPr>
        <w:t>UNIVERSIDADE FEDERAL FLUMINENSE</w:t>
      </w:r>
    </w:p>
    <w:p w14:paraId="28321271" w14:textId="77777777" w:rsidR="00404D08" w:rsidRDefault="00000000">
      <w:pPr>
        <w:ind w:left="567" w:hanging="567"/>
        <w:jc w:val="center"/>
        <w:rPr>
          <w:rFonts w:asciiTheme="minorHAnsi" w:hAnsiTheme="minorHAnsi" w:cstheme="minorHAnsi"/>
          <w:b/>
          <w:sz w:val="22"/>
          <w:szCs w:val="22"/>
        </w:rPr>
      </w:pPr>
      <w:r>
        <w:rPr>
          <w:rFonts w:asciiTheme="minorHAnsi" w:hAnsiTheme="minorHAnsi" w:cstheme="minorHAnsi"/>
          <w:b/>
          <w:sz w:val="22"/>
          <w:szCs w:val="22"/>
        </w:rPr>
        <w:t>PRO REITORIA DE ADMINISTRAÇÃO</w:t>
      </w:r>
    </w:p>
    <w:p w14:paraId="23FA51EB" w14:textId="77777777" w:rsidR="00404D08" w:rsidRDefault="00404D08">
      <w:pPr>
        <w:spacing w:after="120" w:line="276" w:lineRule="auto"/>
        <w:ind w:left="567" w:right="-15" w:hanging="567"/>
        <w:rPr>
          <w:rFonts w:asciiTheme="minorHAnsi" w:hAnsiTheme="minorHAnsi" w:cstheme="minorHAnsi"/>
          <w:b/>
          <w:bCs/>
          <w:sz w:val="22"/>
          <w:szCs w:val="22"/>
        </w:rPr>
      </w:pPr>
    </w:p>
    <w:p w14:paraId="5525682E" w14:textId="77777777" w:rsidR="00404D08" w:rsidRDefault="00404D08">
      <w:pPr>
        <w:pStyle w:val="Pr-formataoHTML"/>
        <w:ind w:left="567" w:hanging="567"/>
        <w:rPr>
          <w:rFonts w:asciiTheme="minorHAnsi" w:hAnsiTheme="minorHAnsi" w:cstheme="minorHAnsi"/>
          <w:b/>
          <w:bCs/>
          <w:sz w:val="22"/>
          <w:szCs w:val="22"/>
        </w:rPr>
      </w:pPr>
    </w:p>
    <w:p w14:paraId="171A9550" w14:textId="77777777" w:rsidR="00404D08" w:rsidRDefault="00000000">
      <w:pPr>
        <w:spacing w:before="120" w:afterLines="120" w:after="288" w:line="312" w:lineRule="auto"/>
        <w:ind w:left="567" w:hanging="567"/>
        <w:jc w:val="center"/>
        <w:rPr>
          <w:rFonts w:asciiTheme="minorHAnsi" w:hAnsiTheme="minorHAnsi" w:cstheme="minorHAnsi"/>
          <w:b/>
          <w:bCs/>
          <w:color w:val="FF0000"/>
          <w:sz w:val="22"/>
          <w:szCs w:val="22"/>
        </w:rPr>
      </w:pPr>
      <w:r>
        <w:rPr>
          <w:rFonts w:asciiTheme="minorHAnsi" w:hAnsiTheme="minorHAnsi" w:cstheme="minorHAnsi"/>
          <w:b/>
          <w:bCs/>
          <w:color w:val="FF0000"/>
          <w:sz w:val="22"/>
          <w:szCs w:val="22"/>
        </w:rPr>
        <w:t xml:space="preserve">ANEXO VII– PE. </w:t>
      </w:r>
      <w:r w:rsidR="004F506A">
        <w:rPr>
          <w:rFonts w:asciiTheme="minorHAnsi" w:hAnsiTheme="minorHAnsi" w:cstheme="minorHAnsi"/>
          <w:b/>
          <w:bCs/>
          <w:color w:val="FF0000"/>
          <w:sz w:val="22"/>
          <w:szCs w:val="22"/>
        </w:rPr>
        <w:t>49/2023</w:t>
      </w:r>
      <w:r>
        <w:rPr>
          <w:rFonts w:asciiTheme="minorHAnsi" w:hAnsiTheme="minorHAnsi" w:cstheme="minorHAnsi"/>
          <w:b/>
          <w:bCs/>
          <w:color w:val="FF0000"/>
          <w:sz w:val="22"/>
          <w:szCs w:val="22"/>
        </w:rPr>
        <w:t xml:space="preserve"> – MINUTA DO TERMO DE CONTRATO</w:t>
      </w:r>
    </w:p>
    <w:p w14:paraId="71DEE76A" w14:textId="77777777" w:rsidR="00404D08" w:rsidRDefault="00000000">
      <w:pPr>
        <w:spacing w:before="120" w:afterLines="120" w:after="288" w:line="312" w:lineRule="auto"/>
        <w:ind w:left="567" w:hanging="567"/>
        <w:jc w:val="center"/>
        <w:rPr>
          <w:rFonts w:asciiTheme="minorHAnsi" w:hAnsiTheme="minorHAnsi" w:cstheme="minorHAnsi"/>
          <w:bCs/>
          <w:sz w:val="22"/>
          <w:szCs w:val="22"/>
        </w:rPr>
      </w:pPr>
      <w:r>
        <w:rPr>
          <w:rFonts w:asciiTheme="minorHAnsi" w:hAnsiTheme="minorHAnsi" w:cstheme="minorHAnsi"/>
          <w:sz w:val="22"/>
          <w:szCs w:val="22"/>
        </w:rPr>
        <w:t>(Processo Administrativo n</w:t>
      </w:r>
      <w:r>
        <w:rPr>
          <w:rFonts w:asciiTheme="minorHAnsi" w:hAnsiTheme="minorHAnsi" w:cstheme="minorHAnsi"/>
          <w:bCs/>
          <w:sz w:val="22"/>
          <w:szCs w:val="22"/>
        </w:rPr>
        <w:t>° 23069.152417/2023-62)</w:t>
      </w:r>
    </w:p>
    <w:p w14:paraId="0F60C70B" w14:textId="77777777" w:rsidR="00404D08" w:rsidRDefault="00000000">
      <w:pPr>
        <w:pStyle w:val="Prembulo"/>
        <w:spacing w:afterLines="120" w:after="288" w:line="312" w:lineRule="auto"/>
        <w:ind w:left="5670" w:hanging="6"/>
        <w:rPr>
          <w:rFonts w:asciiTheme="minorHAnsi" w:hAnsiTheme="minorHAnsi" w:cstheme="minorHAnsi"/>
          <w:bCs w:val="0"/>
          <w:sz w:val="22"/>
          <w:szCs w:val="22"/>
        </w:rPr>
      </w:pPr>
      <w:r>
        <w:rPr>
          <w:rFonts w:asciiTheme="minorHAnsi" w:hAnsiTheme="minorHAnsi" w:cstheme="minorHAnsi"/>
          <w:bCs w:val="0"/>
          <w:sz w:val="22"/>
          <w:szCs w:val="22"/>
        </w:rPr>
        <w:t xml:space="preserve">MINUTA DO CONTRATO ADMINISTRATIVO Nº ......../...., QUE FAZEM ENTRE SI A UNIÃO, POR INTERMÉDIO DA UNIVERSIDADE FEDERAL FLUMINENSE E  ............................................................. </w:t>
      </w:r>
    </w:p>
    <w:p w14:paraId="0EC0BC74" w14:textId="77777777" w:rsidR="00404D08" w:rsidRDefault="00000000">
      <w:pPr>
        <w:spacing w:before="120" w:afterLines="120" w:after="288" w:line="312" w:lineRule="auto"/>
        <w:ind w:left="284"/>
        <w:jc w:val="both"/>
        <w:rPr>
          <w:rFonts w:asciiTheme="minorHAnsi" w:eastAsia="Arial" w:hAnsiTheme="minorHAnsi" w:cstheme="minorHAnsi"/>
          <w:sz w:val="22"/>
          <w:szCs w:val="22"/>
        </w:rPr>
      </w:pPr>
      <w:r>
        <w:rPr>
          <w:rFonts w:asciiTheme="minorHAnsi" w:hAnsiTheme="minorHAnsi" w:cstheme="minorHAnsi"/>
          <w:sz w:val="22"/>
          <w:szCs w:val="22"/>
        </w:rPr>
        <w:t>A </w:t>
      </w:r>
      <w:r>
        <w:rPr>
          <w:rStyle w:val="Forte"/>
          <w:rFonts w:asciiTheme="minorHAnsi" w:hAnsiTheme="minorHAnsi" w:cstheme="minorHAnsi"/>
          <w:sz w:val="22"/>
          <w:szCs w:val="22"/>
        </w:rPr>
        <w:t>UNIVERSIDADE FEDERAL FLUMINENSE</w:t>
      </w:r>
      <w:r>
        <w:rPr>
          <w:rFonts w:asciiTheme="minorHAnsi" w:hAnsiTheme="minorHAnsi" w:cstheme="minorHAnsi"/>
          <w:sz w:val="22"/>
          <w:szCs w:val="22"/>
        </w:rPr>
        <w:t>, autarquia Federal, vinculada ao Ministério da Educação, com sede na Rua Miguel de Frias nº 09, Icaraí, Niterói, Estado do Rio de Janeiro, doravante denominada CONTRATANTE, inscrita no CNPJ/MF sob o nº </w:t>
      </w:r>
      <w:r>
        <w:rPr>
          <w:rStyle w:val="Forte"/>
          <w:rFonts w:asciiTheme="minorHAnsi" w:hAnsiTheme="minorHAnsi" w:cstheme="minorHAnsi"/>
          <w:sz w:val="22"/>
          <w:szCs w:val="22"/>
        </w:rPr>
        <w:t>28.523.215/0001-06</w:t>
      </w:r>
      <w:r>
        <w:rPr>
          <w:rFonts w:asciiTheme="minorHAnsi" w:hAnsiTheme="minorHAnsi" w:cstheme="minorHAnsi"/>
          <w:sz w:val="22"/>
          <w:szCs w:val="22"/>
        </w:rPr>
        <w:t xml:space="preserve">, neste ato representada pelo seu Magnífico Reitor, Professor ANTONIO CLÁUDIO LUCAS DA NOBREGA, nomeado por Decreto Presidencial publicado no DOU de 22/11/2022, </w:t>
      </w:r>
      <w:r>
        <w:rPr>
          <w:rFonts w:asciiTheme="minorHAnsi" w:eastAsia="Arial" w:hAnsiTheme="minorHAnsi" w:cstheme="minorHAnsi"/>
          <w:sz w:val="22"/>
          <w:szCs w:val="22"/>
        </w:rPr>
        <w:t xml:space="preserve">portador da Matrícula Funcional nº </w:t>
      </w:r>
      <w:r>
        <w:rPr>
          <w:rFonts w:asciiTheme="minorHAnsi" w:hAnsiTheme="minorHAnsi" w:cstheme="minorHAnsi"/>
          <w:sz w:val="22"/>
          <w:szCs w:val="22"/>
          <w:shd w:val="clear" w:color="auto" w:fill="F5F5F5"/>
        </w:rPr>
        <w:t>6310674</w:t>
      </w:r>
      <w:r>
        <w:rPr>
          <w:rFonts w:asciiTheme="minorHAnsi" w:eastAsia="Arial" w:hAnsiTheme="minorHAnsi" w:cstheme="minorHAnsi"/>
          <w:sz w:val="22"/>
          <w:szCs w:val="22"/>
        </w:rPr>
        <w:t xml:space="preserve">, doravante denominado CONTRATANTE, e o(a) .............................., </w:t>
      </w:r>
      <w:r>
        <w:rPr>
          <w:rFonts w:asciiTheme="minorHAnsi" w:eastAsia="Arial" w:hAnsiTheme="minorHAnsi" w:cstheme="minorHAnsi"/>
          <w:i/>
          <w:iCs/>
          <w:sz w:val="22"/>
          <w:szCs w:val="22"/>
        </w:rPr>
        <w:t>inscrito(a) no CNPJ/MF sob o nº ............................, sediado(a) na</w:t>
      </w:r>
      <w:r>
        <w:rPr>
          <w:rFonts w:asciiTheme="minorHAnsi" w:eastAsia="Arial" w:hAnsiTheme="minorHAnsi" w:cstheme="minorHAnsi"/>
          <w:sz w:val="22"/>
          <w:szCs w:val="22"/>
        </w:rPr>
        <w:t xml:space="preserve"> ..................................., </w:t>
      </w:r>
      <w:r>
        <w:rPr>
          <w:rFonts w:asciiTheme="minorHAnsi" w:eastAsia="Arial" w:hAnsiTheme="minorHAnsi" w:cstheme="minorHAnsi"/>
          <w:i/>
          <w:iCs/>
          <w:sz w:val="22"/>
          <w:szCs w:val="22"/>
        </w:rPr>
        <w:t>em</w:t>
      </w:r>
      <w:r>
        <w:rPr>
          <w:rFonts w:asciiTheme="minorHAnsi" w:eastAsia="Arial" w:hAnsiTheme="minorHAnsi" w:cstheme="minorHAnsi"/>
          <w:sz w:val="22"/>
          <w:szCs w:val="22"/>
        </w:rPr>
        <w:t xml:space="preserve"> ............................. doravante designado CONTRATADO, </w:t>
      </w:r>
      <w:r>
        <w:rPr>
          <w:rFonts w:asciiTheme="minorHAnsi" w:eastAsia="Arial" w:hAnsiTheme="minorHAnsi" w:cstheme="minorHAnsi"/>
          <w:i/>
          <w:iCs/>
          <w:sz w:val="22"/>
          <w:szCs w:val="22"/>
        </w:rPr>
        <w:t>neste ato representado(a) por</w:t>
      </w:r>
      <w:r>
        <w:rPr>
          <w:rFonts w:asciiTheme="minorHAnsi" w:eastAsia="Arial" w:hAnsiTheme="minorHAnsi" w:cstheme="minorHAnsi"/>
          <w:sz w:val="22"/>
          <w:szCs w:val="22"/>
        </w:rPr>
        <w:t xml:space="preserve"> .................................. (nome e função no contratado), </w:t>
      </w:r>
      <w:r>
        <w:rPr>
          <w:rFonts w:asciiTheme="minorHAnsi" w:eastAsia="Arial" w:hAnsiTheme="minorHAnsi" w:cstheme="minorHAnsi"/>
          <w:i/>
          <w:iCs/>
          <w:sz w:val="22"/>
          <w:szCs w:val="22"/>
        </w:rPr>
        <w:t xml:space="preserve">conforme atos constitutivos da empresa </w:t>
      </w:r>
      <w:r>
        <w:rPr>
          <w:rFonts w:asciiTheme="minorHAnsi" w:eastAsia="Arial" w:hAnsiTheme="minorHAnsi" w:cstheme="minorHAnsi"/>
          <w:b/>
          <w:bCs/>
          <w:i/>
          <w:iCs/>
          <w:sz w:val="22"/>
          <w:szCs w:val="22"/>
        </w:rPr>
        <w:t>OU</w:t>
      </w:r>
      <w:r>
        <w:rPr>
          <w:rFonts w:asciiTheme="minorHAnsi" w:eastAsia="Arial" w:hAnsiTheme="minorHAnsi" w:cstheme="minorHAnsi"/>
          <w:i/>
          <w:iCs/>
          <w:sz w:val="22"/>
          <w:szCs w:val="22"/>
        </w:rPr>
        <w:t xml:space="preserve"> procuração apresentada nos autos, </w:t>
      </w:r>
      <w:r>
        <w:rPr>
          <w:rFonts w:asciiTheme="minorHAnsi" w:eastAsia="Arial" w:hAnsiTheme="minorHAnsi" w:cstheme="minorHAnsi"/>
          <w:sz w:val="22"/>
          <w:szCs w:val="22"/>
        </w:rPr>
        <w:t xml:space="preserve">tendo em vista o que consta no Processo nº 23069.152417/2023-62 e em observância às disposições da Lei nº 14.133, de 1º de abril de 2021, e demais legislação aplicável, resolvem celebrar o presente Termo de Contrato, decorrente </w:t>
      </w:r>
      <w:r>
        <w:rPr>
          <w:rFonts w:asciiTheme="minorHAnsi" w:eastAsia="Arial" w:hAnsiTheme="minorHAnsi" w:cstheme="minorHAnsi"/>
          <w:i/>
          <w:iCs/>
          <w:sz w:val="22"/>
          <w:szCs w:val="22"/>
        </w:rPr>
        <w:t>do Pregão Eletrônico n.</w:t>
      </w:r>
      <w:r w:rsidR="004F506A">
        <w:rPr>
          <w:rFonts w:asciiTheme="minorHAnsi" w:eastAsia="Arial" w:hAnsiTheme="minorHAnsi" w:cstheme="minorHAnsi"/>
          <w:i/>
          <w:iCs/>
          <w:sz w:val="22"/>
          <w:szCs w:val="22"/>
        </w:rPr>
        <w:t>49/2023</w:t>
      </w:r>
      <w:r>
        <w:rPr>
          <w:rFonts w:asciiTheme="minorHAnsi" w:eastAsia="Arial" w:hAnsiTheme="minorHAnsi" w:cstheme="minorHAnsi"/>
          <w:i/>
          <w:iCs/>
          <w:sz w:val="22"/>
          <w:szCs w:val="22"/>
        </w:rPr>
        <w:t>,</w:t>
      </w:r>
      <w:r>
        <w:rPr>
          <w:rFonts w:asciiTheme="minorHAnsi" w:eastAsia="Arial" w:hAnsiTheme="minorHAnsi" w:cstheme="minorHAnsi"/>
          <w:sz w:val="22"/>
          <w:szCs w:val="22"/>
        </w:rPr>
        <w:t xml:space="preserve"> mediante as cláusulas e condições a seguir enunciadas.</w:t>
      </w:r>
    </w:p>
    <w:p w14:paraId="130A5E3F" w14:textId="77777777" w:rsidR="00404D08" w:rsidRDefault="00000000">
      <w:pPr>
        <w:pStyle w:val="PargrafodaLista"/>
        <w:numPr>
          <w:ilvl w:val="0"/>
          <w:numId w:val="8"/>
        </w:numPr>
        <w:spacing w:before="120" w:afterLines="120" w:after="288" w:line="312" w:lineRule="auto"/>
        <w:jc w:val="both"/>
        <w:rPr>
          <w:rFonts w:asciiTheme="minorHAnsi" w:eastAsia="Arial" w:hAnsiTheme="minorHAnsi" w:cstheme="minorHAnsi"/>
          <w:b/>
          <w:bCs/>
          <w:sz w:val="22"/>
          <w:szCs w:val="22"/>
        </w:rPr>
      </w:pPr>
      <w:r>
        <w:rPr>
          <w:rFonts w:asciiTheme="minorHAnsi" w:hAnsiTheme="minorHAnsi" w:cstheme="minorHAnsi"/>
          <w:b/>
          <w:bCs/>
          <w:sz w:val="22"/>
          <w:szCs w:val="22"/>
        </w:rPr>
        <w:t>CLÁUSULA PRIMEIRA – OBJETO (</w:t>
      </w:r>
      <w:hyperlink r:id="rId10" w:anchor="art92" w:history="1">
        <w:r>
          <w:rPr>
            <w:rStyle w:val="Hyperlink"/>
            <w:rFonts w:asciiTheme="minorHAnsi" w:hAnsiTheme="minorHAnsi" w:cstheme="minorHAnsi"/>
            <w:b/>
            <w:bCs/>
            <w:sz w:val="22"/>
            <w:szCs w:val="22"/>
          </w:rPr>
          <w:t>art. 92, I e II</w:t>
        </w:r>
      </w:hyperlink>
      <w:r>
        <w:rPr>
          <w:rFonts w:asciiTheme="minorHAnsi" w:hAnsiTheme="minorHAnsi" w:cstheme="minorHAnsi"/>
          <w:b/>
          <w:bCs/>
          <w:sz w:val="22"/>
          <w:szCs w:val="22"/>
        </w:rPr>
        <w:t>)</w:t>
      </w:r>
    </w:p>
    <w:p w14:paraId="0FCE61E5" w14:textId="77777777" w:rsidR="00404D08" w:rsidRDefault="00000000">
      <w:pPr>
        <w:pStyle w:val="Nivel2"/>
        <w:numPr>
          <w:ilvl w:val="1"/>
          <w:numId w:val="8"/>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O objeto do presente instrumento é a c</w:t>
      </w:r>
      <w:r>
        <w:rPr>
          <w:rFonts w:asciiTheme="minorHAnsi" w:hAnsiTheme="minorHAnsi" w:cstheme="minorHAnsi"/>
          <w:color w:val="000000"/>
          <w:sz w:val="22"/>
          <w:szCs w:val="22"/>
        </w:rPr>
        <w:t>ontratação de empresa para prestação de serviços de operação, limpeza, manutenção preventiva e corretiva com fornecimento de peças do sistema de ar central, tipo Chiller, Self, VRF e Multisplit (Splitão), com cessão de mão de obra, nas dependências da UFF</w:t>
      </w:r>
      <w:r>
        <w:rPr>
          <w:rFonts w:asciiTheme="minorHAnsi" w:hAnsiTheme="minorHAnsi" w:cstheme="minorHAnsi"/>
          <w:sz w:val="22"/>
          <w:szCs w:val="22"/>
        </w:rPr>
        <w:t>.</w:t>
      </w:r>
    </w:p>
    <w:p w14:paraId="7B8E3AD8" w14:textId="77777777" w:rsidR="00404D08" w:rsidRDefault="00000000">
      <w:pPr>
        <w:rPr>
          <w:rFonts w:asciiTheme="minorHAnsi" w:hAnsiTheme="minorHAnsi" w:cstheme="minorHAnsi"/>
          <w:color w:val="000000"/>
          <w:sz w:val="22"/>
          <w:szCs w:val="22"/>
        </w:rPr>
      </w:pPr>
      <w:r>
        <w:rPr>
          <w:rFonts w:asciiTheme="minorHAnsi" w:hAnsiTheme="minorHAnsi" w:cstheme="minorHAnsi"/>
          <w:sz w:val="22"/>
          <w:szCs w:val="22"/>
        </w:rPr>
        <w:br w:type="page"/>
      </w:r>
    </w:p>
    <w:p w14:paraId="1A747A90" w14:textId="77777777" w:rsidR="00404D08" w:rsidRDefault="00000000">
      <w:pPr>
        <w:pStyle w:val="Nivel2"/>
        <w:numPr>
          <w:ilvl w:val="1"/>
          <w:numId w:val="8"/>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lastRenderedPageBreak/>
        <w:t>Objeto da contratação:</w:t>
      </w:r>
    </w:p>
    <w:tbl>
      <w:tblPr>
        <w:tblStyle w:val="TabeladeGrade4-nfase11"/>
        <w:tblW w:w="10000" w:type="dxa"/>
        <w:tblLook w:val="04A0" w:firstRow="1" w:lastRow="0" w:firstColumn="1" w:lastColumn="0" w:noHBand="0" w:noVBand="1"/>
      </w:tblPr>
      <w:tblGrid>
        <w:gridCol w:w="684"/>
        <w:gridCol w:w="2140"/>
        <w:gridCol w:w="948"/>
        <w:gridCol w:w="1643"/>
        <w:gridCol w:w="1716"/>
        <w:gridCol w:w="1540"/>
        <w:gridCol w:w="1330"/>
      </w:tblGrid>
      <w:tr w:rsidR="00404D08" w14:paraId="5B15795C" w14:textId="77777777" w:rsidTr="00404D0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000" w:type="dxa"/>
            <w:gridSpan w:val="7"/>
            <w:noWrap/>
          </w:tcPr>
          <w:p w14:paraId="018EB72A"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Custo total da contratação</w:t>
            </w:r>
          </w:p>
        </w:tc>
      </w:tr>
      <w:tr w:rsidR="00404D08" w14:paraId="04875E40" w14:textId="77777777" w:rsidTr="00404D08">
        <w:trPr>
          <w:trHeight w:val="600"/>
        </w:trPr>
        <w:tc>
          <w:tcPr>
            <w:cnfStyle w:val="001000000000" w:firstRow="0" w:lastRow="0" w:firstColumn="1" w:lastColumn="0" w:oddVBand="0" w:evenVBand="0" w:oddHBand="0" w:evenHBand="0" w:firstRowFirstColumn="0" w:firstRowLastColumn="0" w:lastRowFirstColumn="0" w:lastRowLastColumn="0"/>
            <w:tcW w:w="560" w:type="dxa"/>
            <w:shd w:val="clear" w:color="auto" w:fill="DBE5F1" w:themeFill="accent1" w:themeFillTint="33"/>
          </w:tcPr>
          <w:p w14:paraId="61DD939D"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ITEM</w:t>
            </w:r>
          </w:p>
        </w:tc>
        <w:tc>
          <w:tcPr>
            <w:tcW w:w="2140" w:type="dxa"/>
            <w:shd w:val="clear" w:color="auto" w:fill="DBE5F1" w:themeFill="accent1" w:themeFillTint="33"/>
          </w:tcPr>
          <w:p w14:paraId="0C74E77F"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DISCRIMINAÇÃO DO POSTO</w:t>
            </w:r>
          </w:p>
        </w:tc>
        <w:tc>
          <w:tcPr>
            <w:tcW w:w="840" w:type="dxa"/>
            <w:shd w:val="clear" w:color="auto" w:fill="DBE5F1" w:themeFill="accent1" w:themeFillTint="33"/>
          </w:tcPr>
          <w:p w14:paraId="7BE1B778"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POSTOS</w:t>
            </w:r>
          </w:p>
        </w:tc>
        <w:tc>
          <w:tcPr>
            <w:tcW w:w="1600" w:type="dxa"/>
            <w:shd w:val="clear" w:color="auto" w:fill="DBE5F1" w:themeFill="accent1" w:themeFillTint="33"/>
          </w:tcPr>
          <w:p w14:paraId="1D48699C"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FUNCIONÁRIOS</w:t>
            </w:r>
          </w:p>
        </w:tc>
        <w:tc>
          <w:tcPr>
            <w:tcW w:w="1720" w:type="dxa"/>
            <w:shd w:val="clear" w:color="auto" w:fill="DBE5F1" w:themeFill="accent1" w:themeFillTint="33"/>
          </w:tcPr>
          <w:p w14:paraId="7E08589D"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VALOR MENSAL POR POSTO</w:t>
            </w:r>
          </w:p>
        </w:tc>
        <w:tc>
          <w:tcPr>
            <w:tcW w:w="1540" w:type="dxa"/>
            <w:shd w:val="clear" w:color="auto" w:fill="DBE5F1" w:themeFill="accent1" w:themeFillTint="33"/>
          </w:tcPr>
          <w:p w14:paraId="213C8229"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TOTAL MENSAL</w:t>
            </w:r>
          </w:p>
        </w:tc>
        <w:tc>
          <w:tcPr>
            <w:tcW w:w="1600" w:type="dxa"/>
            <w:shd w:val="clear" w:color="auto" w:fill="DBE5F1" w:themeFill="accent1" w:themeFillTint="33"/>
          </w:tcPr>
          <w:p w14:paraId="295A33F1"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TOTAL ANUAL</w:t>
            </w:r>
          </w:p>
        </w:tc>
      </w:tr>
      <w:tr w:rsidR="00404D08" w14:paraId="52FC8A0C" w14:textId="77777777" w:rsidTr="00404D08">
        <w:trPr>
          <w:trHeight w:val="510"/>
        </w:trPr>
        <w:tc>
          <w:tcPr>
            <w:cnfStyle w:val="001000000000" w:firstRow="0" w:lastRow="0" w:firstColumn="1" w:lastColumn="0" w:oddVBand="0" w:evenVBand="0" w:oddHBand="0" w:evenHBand="0" w:firstRowFirstColumn="0" w:firstRowLastColumn="0" w:lastRowFirstColumn="0" w:lastRowLastColumn="0"/>
            <w:tcW w:w="560" w:type="dxa"/>
          </w:tcPr>
          <w:p w14:paraId="58376B7B"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1</w:t>
            </w:r>
          </w:p>
        </w:tc>
        <w:tc>
          <w:tcPr>
            <w:tcW w:w="2140" w:type="dxa"/>
          </w:tcPr>
          <w:p w14:paraId="61232A4B" w14:textId="77777777" w:rsidR="00404D08" w:rsidRDefault="00000000">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Encarregado geral 44h</w:t>
            </w:r>
          </w:p>
        </w:tc>
        <w:tc>
          <w:tcPr>
            <w:tcW w:w="840" w:type="dxa"/>
          </w:tcPr>
          <w:p w14:paraId="1D1A6C92"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1</w:t>
            </w:r>
          </w:p>
        </w:tc>
        <w:tc>
          <w:tcPr>
            <w:tcW w:w="1600" w:type="dxa"/>
          </w:tcPr>
          <w:p w14:paraId="19C3D10B"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1</w:t>
            </w:r>
          </w:p>
        </w:tc>
        <w:tc>
          <w:tcPr>
            <w:tcW w:w="1720" w:type="dxa"/>
          </w:tcPr>
          <w:p w14:paraId="083748B9"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540" w:type="dxa"/>
          </w:tcPr>
          <w:p w14:paraId="4BED9DC0"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600" w:type="dxa"/>
          </w:tcPr>
          <w:p w14:paraId="75C99F98"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r>
      <w:tr w:rsidR="00404D08" w14:paraId="0383CF35" w14:textId="77777777" w:rsidTr="00404D08">
        <w:trPr>
          <w:trHeight w:val="510"/>
        </w:trPr>
        <w:tc>
          <w:tcPr>
            <w:cnfStyle w:val="001000000000" w:firstRow="0" w:lastRow="0" w:firstColumn="1" w:lastColumn="0" w:oddVBand="0" w:evenVBand="0" w:oddHBand="0" w:evenHBand="0" w:firstRowFirstColumn="0" w:firstRowLastColumn="0" w:lastRowFirstColumn="0" w:lastRowLastColumn="0"/>
            <w:tcW w:w="560" w:type="dxa"/>
            <w:shd w:val="clear" w:color="auto" w:fill="DBE5F1" w:themeFill="accent1" w:themeFillTint="33"/>
          </w:tcPr>
          <w:p w14:paraId="3D48C3B4"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2</w:t>
            </w:r>
          </w:p>
        </w:tc>
        <w:tc>
          <w:tcPr>
            <w:tcW w:w="2140" w:type="dxa"/>
            <w:shd w:val="clear" w:color="auto" w:fill="DBE5F1" w:themeFill="accent1" w:themeFillTint="33"/>
          </w:tcPr>
          <w:p w14:paraId="2B88A5F6" w14:textId="77777777" w:rsidR="00404D08" w:rsidRDefault="00000000">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Auxiliar de Refrigeração 44h</w:t>
            </w:r>
          </w:p>
        </w:tc>
        <w:tc>
          <w:tcPr>
            <w:tcW w:w="840" w:type="dxa"/>
            <w:shd w:val="clear" w:color="auto" w:fill="DBE5F1" w:themeFill="accent1" w:themeFillTint="33"/>
          </w:tcPr>
          <w:p w14:paraId="3453927A"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6</w:t>
            </w:r>
          </w:p>
        </w:tc>
        <w:tc>
          <w:tcPr>
            <w:tcW w:w="1600" w:type="dxa"/>
            <w:shd w:val="clear" w:color="auto" w:fill="DBE5F1" w:themeFill="accent1" w:themeFillTint="33"/>
          </w:tcPr>
          <w:p w14:paraId="0527306F"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6</w:t>
            </w:r>
          </w:p>
        </w:tc>
        <w:tc>
          <w:tcPr>
            <w:tcW w:w="1720" w:type="dxa"/>
            <w:shd w:val="clear" w:color="auto" w:fill="DBE5F1" w:themeFill="accent1" w:themeFillTint="33"/>
          </w:tcPr>
          <w:p w14:paraId="4B79CB32"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540" w:type="dxa"/>
            <w:shd w:val="clear" w:color="auto" w:fill="DBE5F1" w:themeFill="accent1" w:themeFillTint="33"/>
          </w:tcPr>
          <w:p w14:paraId="1A7511D6"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600" w:type="dxa"/>
            <w:shd w:val="clear" w:color="auto" w:fill="DBE5F1" w:themeFill="accent1" w:themeFillTint="33"/>
          </w:tcPr>
          <w:p w14:paraId="1839FBF6"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r>
      <w:tr w:rsidR="00404D08" w14:paraId="29567F79" w14:textId="77777777" w:rsidTr="00404D08">
        <w:trPr>
          <w:trHeight w:val="765"/>
        </w:trPr>
        <w:tc>
          <w:tcPr>
            <w:cnfStyle w:val="001000000000" w:firstRow="0" w:lastRow="0" w:firstColumn="1" w:lastColumn="0" w:oddVBand="0" w:evenVBand="0" w:oddHBand="0" w:evenHBand="0" w:firstRowFirstColumn="0" w:firstRowLastColumn="0" w:lastRowFirstColumn="0" w:lastRowLastColumn="0"/>
            <w:tcW w:w="560" w:type="dxa"/>
          </w:tcPr>
          <w:p w14:paraId="72B0D8A0"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3</w:t>
            </w:r>
          </w:p>
        </w:tc>
        <w:tc>
          <w:tcPr>
            <w:tcW w:w="2140" w:type="dxa"/>
          </w:tcPr>
          <w:p w14:paraId="0573710F" w14:textId="77777777" w:rsidR="00404D08" w:rsidRDefault="00000000">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Auxiliar de Refrigeração 12x36h Diurno</w:t>
            </w:r>
          </w:p>
        </w:tc>
        <w:tc>
          <w:tcPr>
            <w:tcW w:w="840" w:type="dxa"/>
          </w:tcPr>
          <w:p w14:paraId="38C4F489"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1</w:t>
            </w:r>
          </w:p>
        </w:tc>
        <w:tc>
          <w:tcPr>
            <w:tcW w:w="1600" w:type="dxa"/>
          </w:tcPr>
          <w:p w14:paraId="76E60C6D"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2</w:t>
            </w:r>
          </w:p>
        </w:tc>
        <w:tc>
          <w:tcPr>
            <w:tcW w:w="1720" w:type="dxa"/>
          </w:tcPr>
          <w:p w14:paraId="72779793"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540" w:type="dxa"/>
          </w:tcPr>
          <w:p w14:paraId="70FEC47B"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600" w:type="dxa"/>
          </w:tcPr>
          <w:p w14:paraId="78C49A0B"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r>
      <w:tr w:rsidR="00404D08" w14:paraId="77F5F823" w14:textId="77777777" w:rsidTr="00404D08">
        <w:trPr>
          <w:trHeight w:val="765"/>
        </w:trPr>
        <w:tc>
          <w:tcPr>
            <w:cnfStyle w:val="001000000000" w:firstRow="0" w:lastRow="0" w:firstColumn="1" w:lastColumn="0" w:oddVBand="0" w:evenVBand="0" w:oddHBand="0" w:evenHBand="0" w:firstRowFirstColumn="0" w:firstRowLastColumn="0" w:lastRowFirstColumn="0" w:lastRowLastColumn="0"/>
            <w:tcW w:w="560" w:type="dxa"/>
            <w:shd w:val="clear" w:color="auto" w:fill="DBE5F1" w:themeFill="accent1" w:themeFillTint="33"/>
          </w:tcPr>
          <w:p w14:paraId="766518F3"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4</w:t>
            </w:r>
          </w:p>
        </w:tc>
        <w:tc>
          <w:tcPr>
            <w:tcW w:w="2140" w:type="dxa"/>
            <w:shd w:val="clear" w:color="auto" w:fill="DBE5F1" w:themeFill="accent1" w:themeFillTint="33"/>
          </w:tcPr>
          <w:p w14:paraId="1F7B13DF" w14:textId="77777777" w:rsidR="00404D08" w:rsidRDefault="00000000">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Auxiliar de Refrigeração 12x36h Noturno</w:t>
            </w:r>
          </w:p>
        </w:tc>
        <w:tc>
          <w:tcPr>
            <w:tcW w:w="840" w:type="dxa"/>
            <w:shd w:val="clear" w:color="auto" w:fill="DBE5F1" w:themeFill="accent1" w:themeFillTint="33"/>
          </w:tcPr>
          <w:p w14:paraId="4FB61393"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1</w:t>
            </w:r>
          </w:p>
        </w:tc>
        <w:tc>
          <w:tcPr>
            <w:tcW w:w="1600" w:type="dxa"/>
            <w:shd w:val="clear" w:color="auto" w:fill="DBE5F1" w:themeFill="accent1" w:themeFillTint="33"/>
          </w:tcPr>
          <w:p w14:paraId="1719C5C6"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2</w:t>
            </w:r>
          </w:p>
        </w:tc>
        <w:tc>
          <w:tcPr>
            <w:tcW w:w="1720" w:type="dxa"/>
            <w:shd w:val="clear" w:color="auto" w:fill="DBE5F1" w:themeFill="accent1" w:themeFillTint="33"/>
          </w:tcPr>
          <w:p w14:paraId="52C4E876"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540" w:type="dxa"/>
            <w:shd w:val="clear" w:color="auto" w:fill="DBE5F1" w:themeFill="accent1" w:themeFillTint="33"/>
          </w:tcPr>
          <w:p w14:paraId="6716E529"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600" w:type="dxa"/>
            <w:shd w:val="clear" w:color="auto" w:fill="DBE5F1" w:themeFill="accent1" w:themeFillTint="33"/>
          </w:tcPr>
          <w:p w14:paraId="74623E1E"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r>
      <w:tr w:rsidR="00404D08" w14:paraId="0B16B7C5" w14:textId="77777777" w:rsidTr="00404D08">
        <w:trPr>
          <w:trHeight w:val="525"/>
        </w:trPr>
        <w:tc>
          <w:tcPr>
            <w:cnfStyle w:val="001000000000" w:firstRow="0" w:lastRow="0" w:firstColumn="1" w:lastColumn="0" w:oddVBand="0" w:evenVBand="0" w:oddHBand="0" w:evenHBand="0" w:firstRowFirstColumn="0" w:firstRowLastColumn="0" w:lastRowFirstColumn="0" w:lastRowLastColumn="0"/>
            <w:tcW w:w="560" w:type="dxa"/>
          </w:tcPr>
          <w:p w14:paraId="323D3EA4"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5</w:t>
            </w:r>
          </w:p>
        </w:tc>
        <w:tc>
          <w:tcPr>
            <w:tcW w:w="2140" w:type="dxa"/>
          </w:tcPr>
          <w:p w14:paraId="7298F104" w14:textId="77777777" w:rsidR="00404D08" w:rsidRDefault="00000000">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Mecânico de Ar Central 44 h</w:t>
            </w:r>
          </w:p>
        </w:tc>
        <w:tc>
          <w:tcPr>
            <w:tcW w:w="840" w:type="dxa"/>
          </w:tcPr>
          <w:p w14:paraId="706325AE"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5</w:t>
            </w:r>
          </w:p>
        </w:tc>
        <w:tc>
          <w:tcPr>
            <w:tcW w:w="1600" w:type="dxa"/>
          </w:tcPr>
          <w:p w14:paraId="26A96E89"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5</w:t>
            </w:r>
          </w:p>
        </w:tc>
        <w:tc>
          <w:tcPr>
            <w:tcW w:w="1720" w:type="dxa"/>
          </w:tcPr>
          <w:p w14:paraId="4D024E04"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540" w:type="dxa"/>
          </w:tcPr>
          <w:p w14:paraId="6C77DDE5"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600" w:type="dxa"/>
          </w:tcPr>
          <w:p w14:paraId="4D88905A"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r>
      <w:tr w:rsidR="00404D08" w14:paraId="5A05458A" w14:textId="77777777" w:rsidTr="00404D08">
        <w:trPr>
          <w:trHeight w:val="780"/>
        </w:trPr>
        <w:tc>
          <w:tcPr>
            <w:cnfStyle w:val="001000000000" w:firstRow="0" w:lastRow="0" w:firstColumn="1" w:lastColumn="0" w:oddVBand="0" w:evenVBand="0" w:oddHBand="0" w:evenHBand="0" w:firstRowFirstColumn="0" w:firstRowLastColumn="0" w:lastRowFirstColumn="0" w:lastRowLastColumn="0"/>
            <w:tcW w:w="560" w:type="dxa"/>
            <w:shd w:val="clear" w:color="auto" w:fill="DBE5F1" w:themeFill="accent1" w:themeFillTint="33"/>
          </w:tcPr>
          <w:p w14:paraId="0194C9B3"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6</w:t>
            </w:r>
          </w:p>
        </w:tc>
        <w:tc>
          <w:tcPr>
            <w:tcW w:w="2140" w:type="dxa"/>
            <w:shd w:val="clear" w:color="auto" w:fill="DBE5F1" w:themeFill="accent1" w:themeFillTint="33"/>
          </w:tcPr>
          <w:p w14:paraId="440A964B" w14:textId="77777777" w:rsidR="00404D08" w:rsidRDefault="00000000">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Mecânico de Ar Central 12x36h Diurno</w:t>
            </w:r>
          </w:p>
        </w:tc>
        <w:tc>
          <w:tcPr>
            <w:tcW w:w="840" w:type="dxa"/>
            <w:shd w:val="clear" w:color="auto" w:fill="DBE5F1" w:themeFill="accent1" w:themeFillTint="33"/>
          </w:tcPr>
          <w:p w14:paraId="653492E9"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1</w:t>
            </w:r>
          </w:p>
        </w:tc>
        <w:tc>
          <w:tcPr>
            <w:tcW w:w="1600" w:type="dxa"/>
            <w:shd w:val="clear" w:color="auto" w:fill="DBE5F1" w:themeFill="accent1" w:themeFillTint="33"/>
          </w:tcPr>
          <w:p w14:paraId="2CF4EDE1"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2</w:t>
            </w:r>
          </w:p>
        </w:tc>
        <w:tc>
          <w:tcPr>
            <w:tcW w:w="1720" w:type="dxa"/>
            <w:shd w:val="clear" w:color="auto" w:fill="DBE5F1" w:themeFill="accent1" w:themeFillTint="33"/>
          </w:tcPr>
          <w:p w14:paraId="4B56A688"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540" w:type="dxa"/>
            <w:shd w:val="clear" w:color="auto" w:fill="DBE5F1" w:themeFill="accent1" w:themeFillTint="33"/>
          </w:tcPr>
          <w:p w14:paraId="563F886C"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600" w:type="dxa"/>
            <w:shd w:val="clear" w:color="auto" w:fill="DBE5F1" w:themeFill="accent1" w:themeFillTint="33"/>
          </w:tcPr>
          <w:p w14:paraId="5E6168FB"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r>
      <w:tr w:rsidR="00404D08" w14:paraId="42D84592" w14:textId="77777777" w:rsidTr="00404D08">
        <w:trPr>
          <w:trHeight w:val="780"/>
        </w:trPr>
        <w:tc>
          <w:tcPr>
            <w:cnfStyle w:val="001000000000" w:firstRow="0" w:lastRow="0" w:firstColumn="1" w:lastColumn="0" w:oddVBand="0" w:evenVBand="0" w:oddHBand="0" w:evenHBand="0" w:firstRowFirstColumn="0" w:firstRowLastColumn="0" w:lastRowFirstColumn="0" w:lastRowLastColumn="0"/>
            <w:tcW w:w="560" w:type="dxa"/>
          </w:tcPr>
          <w:p w14:paraId="1749AF9A"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7</w:t>
            </w:r>
          </w:p>
        </w:tc>
        <w:tc>
          <w:tcPr>
            <w:tcW w:w="2140" w:type="dxa"/>
          </w:tcPr>
          <w:p w14:paraId="00E27314" w14:textId="77777777" w:rsidR="00404D08" w:rsidRDefault="00000000">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Mecânico de Ar Central 12x36h Noturno</w:t>
            </w:r>
          </w:p>
        </w:tc>
        <w:tc>
          <w:tcPr>
            <w:tcW w:w="840" w:type="dxa"/>
          </w:tcPr>
          <w:p w14:paraId="0A65685D"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1</w:t>
            </w:r>
          </w:p>
        </w:tc>
        <w:tc>
          <w:tcPr>
            <w:tcW w:w="1600" w:type="dxa"/>
          </w:tcPr>
          <w:p w14:paraId="6F615DB3"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2</w:t>
            </w:r>
          </w:p>
        </w:tc>
        <w:tc>
          <w:tcPr>
            <w:tcW w:w="1720" w:type="dxa"/>
          </w:tcPr>
          <w:p w14:paraId="05547DED"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540" w:type="dxa"/>
          </w:tcPr>
          <w:p w14:paraId="156F9988"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600" w:type="dxa"/>
          </w:tcPr>
          <w:p w14:paraId="7561C53A"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r>
      <w:tr w:rsidR="00404D08" w14:paraId="36B63270" w14:textId="77777777" w:rsidTr="00404D08">
        <w:trPr>
          <w:trHeight w:val="315"/>
        </w:trPr>
        <w:tc>
          <w:tcPr>
            <w:cnfStyle w:val="001000000000" w:firstRow="0" w:lastRow="0" w:firstColumn="1" w:lastColumn="0" w:oddVBand="0" w:evenVBand="0" w:oddHBand="0" w:evenHBand="0" w:firstRowFirstColumn="0" w:firstRowLastColumn="0" w:lastRowFirstColumn="0" w:lastRowLastColumn="0"/>
            <w:tcW w:w="2700" w:type="dxa"/>
            <w:gridSpan w:val="2"/>
            <w:shd w:val="clear" w:color="auto" w:fill="DBE5F1" w:themeFill="accent1" w:themeFillTint="33"/>
            <w:noWrap/>
          </w:tcPr>
          <w:p w14:paraId="7DF1C37C"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TOTAL</w:t>
            </w:r>
          </w:p>
        </w:tc>
        <w:tc>
          <w:tcPr>
            <w:tcW w:w="840" w:type="dxa"/>
            <w:shd w:val="clear" w:color="auto" w:fill="DBE5F1" w:themeFill="accent1" w:themeFillTint="33"/>
            <w:noWrap/>
          </w:tcPr>
          <w:p w14:paraId="3EE556E5"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16</w:t>
            </w:r>
          </w:p>
        </w:tc>
        <w:tc>
          <w:tcPr>
            <w:tcW w:w="1600" w:type="dxa"/>
            <w:shd w:val="clear" w:color="auto" w:fill="DBE5F1" w:themeFill="accent1" w:themeFillTint="33"/>
            <w:noWrap/>
          </w:tcPr>
          <w:p w14:paraId="7F4369ED"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20</w:t>
            </w:r>
          </w:p>
        </w:tc>
        <w:tc>
          <w:tcPr>
            <w:tcW w:w="1720" w:type="dxa"/>
            <w:shd w:val="clear" w:color="auto" w:fill="DBE5F1" w:themeFill="accent1" w:themeFillTint="33"/>
          </w:tcPr>
          <w:p w14:paraId="5843A806"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540" w:type="dxa"/>
            <w:shd w:val="clear" w:color="auto" w:fill="DBE5F1" w:themeFill="accent1" w:themeFillTint="33"/>
          </w:tcPr>
          <w:p w14:paraId="3691E2FE"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600" w:type="dxa"/>
            <w:shd w:val="clear" w:color="auto" w:fill="DBE5F1" w:themeFill="accent1" w:themeFillTint="33"/>
          </w:tcPr>
          <w:p w14:paraId="15BE0AEF"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r>
    </w:tbl>
    <w:p w14:paraId="06B9D4B3" w14:textId="77777777" w:rsidR="00404D08" w:rsidRDefault="00404D08">
      <w:pPr>
        <w:pStyle w:val="Nivel2"/>
        <w:numPr>
          <w:ilvl w:val="0"/>
          <w:numId w:val="0"/>
        </w:numPr>
        <w:spacing w:afterLines="120" w:after="288" w:line="312" w:lineRule="auto"/>
        <w:ind w:left="858" w:hanging="432"/>
        <w:rPr>
          <w:rFonts w:asciiTheme="minorHAnsi" w:hAnsiTheme="minorHAnsi" w:cstheme="minorHAnsi"/>
          <w:sz w:val="22"/>
          <w:szCs w:val="22"/>
        </w:rPr>
      </w:pPr>
    </w:p>
    <w:tbl>
      <w:tblPr>
        <w:tblStyle w:val="TabeladeGrade4-nfase11"/>
        <w:tblW w:w="9741" w:type="dxa"/>
        <w:tblLook w:val="04A0" w:firstRow="1" w:lastRow="0" w:firstColumn="1" w:lastColumn="0" w:noHBand="0" w:noVBand="1"/>
      </w:tblPr>
      <w:tblGrid>
        <w:gridCol w:w="684"/>
        <w:gridCol w:w="274"/>
        <w:gridCol w:w="48"/>
        <w:gridCol w:w="1744"/>
        <w:gridCol w:w="752"/>
        <w:gridCol w:w="258"/>
        <w:gridCol w:w="630"/>
        <w:gridCol w:w="80"/>
        <w:gridCol w:w="770"/>
        <w:gridCol w:w="69"/>
        <w:gridCol w:w="238"/>
        <w:gridCol w:w="537"/>
        <w:gridCol w:w="727"/>
        <w:gridCol w:w="103"/>
        <w:gridCol w:w="432"/>
        <w:gridCol w:w="696"/>
        <w:gridCol w:w="75"/>
        <w:gridCol w:w="453"/>
        <w:gridCol w:w="474"/>
        <w:gridCol w:w="82"/>
        <w:gridCol w:w="22"/>
        <w:gridCol w:w="33"/>
        <w:gridCol w:w="398"/>
        <w:gridCol w:w="316"/>
        <w:gridCol w:w="147"/>
      </w:tblGrid>
      <w:tr w:rsidR="00404D08" w14:paraId="7969E3F3" w14:textId="77777777" w:rsidTr="00404D0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741" w:type="dxa"/>
            <w:gridSpan w:val="25"/>
            <w:noWrap/>
          </w:tcPr>
          <w:p w14:paraId="22217A9F"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Custo serviços acessórios, sem DEMO</w:t>
            </w:r>
          </w:p>
        </w:tc>
      </w:tr>
      <w:tr w:rsidR="00404D08" w14:paraId="09366DD4" w14:textId="77777777" w:rsidTr="00404D08">
        <w:trPr>
          <w:gridAfter w:val="1"/>
          <w:wAfter w:w="147" w:type="dxa"/>
          <w:trHeight w:val="600"/>
        </w:trPr>
        <w:tc>
          <w:tcPr>
            <w:cnfStyle w:val="001000000000" w:firstRow="0" w:lastRow="0" w:firstColumn="1" w:lastColumn="0" w:oddVBand="0" w:evenVBand="0" w:oddHBand="0" w:evenHBand="0" w:firstRowFirstColumn="0" w:firstRowLastColumn="0" w:lastRowFirstColumn="0" w:lastRowLastColumn="0"/>
            <w:tcW w:w="684" w:type="dxa"/>
            <w:shd w:val="clear" w:color="auto" w:fill="DBE5F1" w:themeFill="accent1" w:themeFillTint="33"/>
          </w:tcPr>
          <w:p w14:paraId="6E5AD856"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ITEM</w:t>
            </w:r>
          </w:p>
        </w:tc>
        <w:tc>
          <w:tcPr>
            <w:tcW w:w="2066" w:type="dxa"/>
            <w:gridSpan w:val="3"/>
            <w:shd w:val="clear" w:color="auto" w:fill="DBE5F1" w:themeFill="accent1" w:themeFillTint="33"/>
          </w:tcPr>
          <w:p w14:paraId="2E2A4D36"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DISCRIMINAÇÃO DO POSTO</w:t>
            </w:r>
          </w:p>
        </w:tc>
        <w:tc>
          <w:tcPr>
            <w:tcW w:w="1010" w:type="dxa"/>
            <w:gridSpan w:val="2"/>
            <w:shd w:val="clear" w:color="auto" w:fill="DBE5F1" w:themeFill="accent1" w:themeFillTint="33"/>
          </w:tcPr>
          <w:p w14:paraId="27E0CEBC"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Custo Hora</w:t>
            </w:r>
          </w:p>
        </w:tc>
        <w:tc>
          <w:tcPr>
            <w:tcW w:w="630" w:type="dxa"/>
            <w:shd w:val="clear" w:color="auto" w:fill="DBE5F1" w:themeFill="accent1" w:themeFillTint="33"/>
          </w:tcPr>
          <w:p w14:paraId="7667CC06"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BDI</w:t>
            </w:r>
          </w:p>
        </w:tc>
        <w:tc>
          <w:tcPr>
            <w:tcW w:w="850" w:type="dxa"/>
            <w:gridSpan w:val="2"/>
            <w:shd w:val="clear" w:color="auto" w:fill="DBE5F1" w:themeFill="accent1" w:themeFillTint="33"/>
          </w:tcPr>
          <w:p w14:paraId="070AF832"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Custo total da Hora</w:t>
            </w:r>
          </w:p>
        </w:tc>
        <w:tc>
          <w:tcPr>
            <w:tcW w:w="1270" w:type="dxa"/>
            <w:gridSpan w:val="4"/>
            <w:shd w:val="clear" w:color="auto" w:fill="DBE5F1" w:themeFill="accent1" w:themeFillTint="33"/>
          </w:tcPr>
          <w:p w14:paraId="4AE04CF0"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Horas Estimado Semana</w:t>
            </w:r>
          </w:p>
        </w:tc>
        <w:tc>
          <w:tcPr>
            <w:tcW w:w="1231" w:type="dxa"/>
            <w:gridSpan w:val="3"/>
            <w:shd w:val="clear" w:color="auto" w:fill="DBE5F1" w:themeFill="accent1" w:themeFillTint="33"/>
          </w:tcPr>
          <w:p w14:paraId="19F46490"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Horas Estimado Mês</w:t>
            </w:r>
          </w:p>
        </w:tc>
        <w:tc>
          <w:tcPr>
            <w:tcW w:w="1002" w:type="dxa"/>
            <w:gridSpan w:val="3"/>
            <w:shd w:val="clear" w:color="auto" w:fill="DBE5F1" w:themeFill="accent1" w:themeFillTint="33"/>
          </w:tcPr>
          <w:p w14:paraId="4FC2A5D4"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Custo total do mês</w:t>
            </w:r>
          </w:p>
        </w:tc>
        <w:tc>
          <w:tcPr>
            <w:tcW w:w="851" w:type="dxa"/>
            <w:gridSpan w:val="5"/>
            <w:shd w:val="clear" w:color="auto" w:fill="DBE5F1" w:themeFill="accent1" w:themeFillTint="33"/>
          </w:tcPr>
          <w:p w14:paraId="796094B9"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Custo total do ano</w:t>
            </w:r>
          </w:p>
        </w:tc>
      </w:tr>
      <w:tr w:rsidR="00404D08" w14:paraId="5FDDFEBD" w14:textId="77777777" w:rsidTr="00404D08">
        <w:trPr>
          <w:gridAfter w:val="1"/>
          <w:wAfter w:w="147" w:type="dxa"/>
          <w:trHeight w:val="510"/>
        </w:trPr>
        <w:tc>
          <w:tcPr>
            <w:cnfStyle w:val="001000000000" w:firstRow="0" w:lastRow="0" w:firstColumn="1" w:lastColumn="0" w:oddVBand="0" w:evenVBand="0" w:oddHBand="0" w:evenHBand="0" w:firstRowFirstColumn="0" w:firstRowLastColumn="0" w:lastRowFirstColumn="0" w:lastRowLastColumn="0"/>
            <w:tcW w:w="684" w:type="dxa"/>
          </w:tcPr>
          <w:p w14:paraId="082011CB"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1</w:t>
            </w:r>
          </w:p>
        </w:tc>
        <w:tc>
          <w:tcPr>
            <w:tcW w:w="2066" w:type="dxa"/>
            <w:gridSpan w:val="3"/>
          </w:tcPr>
          <w:p w14:paraId="51575FED"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Mecânico de Ar Condicionado</w:t>
            </w:r>
          </w:p>
        </w:tc>
        <w:tc>
          <w:tcPr>
            <w:tcW w:w="1010" w:type="dxa"/>
            <w:gridSpan w:val="2"/>
          </w:tcPr>
          <w:p w14:paraId="2007F65E"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p>
        </w:tc>
        <w:tc>
          <w:tcPr>
            <w:tcW w:w="630" w:type="dxa"/>
          </w:tcPr>
          <w:p w14:paraId="6C8343DF"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p>
        </w:tc>
        <w:tc>
          <w:tcPr>
            <w:tcW w:w="850" w:type="dxa"/>
            <w:gridSpan w:val="2"/>
          </w:tcPr>
          <w:p w14:paraId="02CFA60C"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270" w:type="dxa"/>
            <w:gridSpan w:val="4"/>
          </w:tcPr>
          <w:p w14:paraId="7321BA5A"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16</w:t>
            </w:r>
          </w:p>
        </w:tc>
        <w:tc>
          <w:tcPr>
            <w:tcW w:w="1231" w:type="dxa"/>
            <w:gridSpan w:val="3"/>
          </w:tcPr>
          <w:p w14:paraId="6FF6FE0A"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64</w:t>
            </w:r>
          </w:p>
        </w:tc>
        <w:tc>
          <w:tcPr>
            <w:tcW w:w="1002" w:type="dxa"/>
            <w:gridSpan w:val="3"/>
            <w:noWrap/>
          </w:tcPr>
          <w:p w14:paraId="717CB366" w14:textId="77777777" w:rsidR="00404D08" w:rsidRDefault="00404D08">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c>
          <w:tcPr>
            <w:tcW w:w="851" w:type="dxa"/>
            <w:gridSpan w:val="5"/>
            <w:noWrap/>
          </w:tcPr>
          <w:p w14:paraId="57FB544D" w14:textId="77777777" w:rsidR="00404D08" w:rsidRDefault="00404D08">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r>
      <w:tr w:rsidR="00404D08" w14:paraId="03DE833C" w14:textId="77777777" w:rsidTr="00404D08">
        <w:trPr>
          <w:gridAfter w:val="1"/>
          <w:wAfter w:w="147" w:type="dxa"/>
          <w:trHeight w:val="510"/>
        </w:trPr>
        <w:tc>
          <w:tcPr>
            <w:cnfStyle w:val="001000000000" w:firstRow="0" w:lastRow="0" w:firstColumn="1" w:lastColumn="0" w:oddVBand="0" w:evenVBand="0" w:oddHBand="0" w:evenHBand="0" w:firstRowFirstColumn="0" w:firstRowLastColumn="0" w:lastRowFirstColumn="0" w:lastRowLastColumn="0"/>
            <w:tcW w:w="684" w:type="dxa"/>
            <w:shd w:val="clear" w:color="auto" w:fill="DBE5F1" w:themeFill="accent1" w:themeFillTint="33"/>
          </w:tcPr>
          <w:p w14:paraId="628280A9"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2</w:t>
            </w:r>
          </w:p>
        </w:tc>
        <w:tc>
          <w:tcPr>
            <w:tcW w:w="2066" w:type="dxa"/>
            <w:gridSpan w:val="3"/>
            <w:shd w:val="clear" w:color="auto" w:fill="DBE5F1" w:themeFill="accent1" w:themeFillTint="33"/>
          </w:tcPr>
          <w:p w14:paraId="438EB1BB"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Auxiliar de Refrigeração</w:t>
            </w:r>
          </w:p>
        </w:tc>
        <w:tc>
          <w:tcPr>
            <w:tcW w:w="1010" w:type="dxa"/>
            <w:gridSpan w:val="2"/>
            <w:shd w:val="clear" w:color="auto" w:fill="DBE5F1" w:themeFill="accent1" w:themeFillTint="33"/>
          </w:tcPr>
          <w:p w14:paraId="544520B5"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p>
        </w:tc>
        <w:tc>
          <w:tcPr>
            <w:tcW w:w="630" w:type="dxa"/>
            <w:shd w:val="clear" w:color="auto" w:fill="DBE5F1" w:themeFill="accent1" w:themeFillTint="33"/>
          </w:tcPr>
          <w:p w14:paraId="7B04AE6B"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p>
        </w:tc>
        <w:tc>
          <w:tcPr>
            <w:tcW w:w="850" w:type="dxa"/>
            <w:gridSpan w:val="2"/>
            <w:shd w:val="clear" w:color="auto" w:fill="DBE5F1" w:themeFill="accent1" w:themeFillTint="33"/>
          </w:tcPr>
          <w:p w14:paraId="7DA449EF"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270" w:type="dxa"/>
            <w:gridSpan w:val="4"/>
            <w:shd w:val="clear" w:color="auto" w:fill="DBE5F1" w:themeFill="accent1" w:themeFillTint="33"/>
          </w:tcPr>
          <w:p w14:paraId="22B55AD3"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16</w:t>
            </w:r>
          </w:p>
        </w:tc>
        <w:tc>
          <w:tcPr>
            <w:tcW w:w="1231" w:type="dxa"/>
            <w:gridSpan w:val="3"/>
            <w:shd w:val="clear" w:color="auto" w:fill="DBE5F1" w:themeFill="accent1" w:themeFillTint="33"/>
          </w:tcPr>
          <w:p w14:paraId="226A1404"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64</w:t>
            </w:r>
          </w:p>
        </w:tc>
        <w:tc>
          <w:tcPr>
            <w:tcW w:w="1002" w:type="dxa"/>
            <w:gridSpan w:val="3"/>
            <w:shd w:val="clear" w:color="auto" w:fill="DBE5F1" w:themeFill="accent1" w:themeFillTint="33"/>
            <w:noWrap/>
          </w:tcPr>
          <w:p w14:paraId="5A8E9C3E" w14:textId="77777777" w:rsidR="00404D08" w:rsidRDefault="00404D08">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c>
          <w:tcPr>
            <w:tcW w:w="851" w:type="dxa"/>
            <w:gridSpan w:val="5"/>
            <w:shd w:val="clear" w:color="auto" w:fill="DBE5F1" w:themeFill="accent1" w:themeFillTint="33"/>
            <w:noWrap/>
          </w:tcPr>
          <w:p w14:paraId="2C0CD89B" w14:textId="77777777" w:rsidR="00404D08" w:rsidRDefault="00404D08">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r>
      <w:tr w:rsidR="00404D08" w14:paraId="59A478B1" w14:textId="77777777" w:rsidTr="00404D08">
        <w:trPr>
          <w:gridAfter w:val="1"/>
          <w:wAfter w:w="147" w:type="dxa"/>
          <w:trHeight w:val="510"/>
        </w:trPr>
        <w:tc>
          <w:tcPr>
            <w:cnfStyle w:val="001000000000" w:firstRow="0" w:lastRow="0" w:firstColumn="1" w:lastColumn="0" w:oddVBand="0" w:evenVBand="0" w:oddHBand="0" w:evenHBand="0" w:firstRowFirstColumn="0" w:firstRowLastColumn="0" w:lastRowFirstColumn="0" w:lastRowLastColumn="0"/>
            <w:tcW w:w="684" w:type="dxa"/>
          </w:tcPr>
          <w:p w14:paraId="0A5D4EDF"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3</w:t>
            </w:r>
          </w:p>
        </w:tc>
        <w:tc>
          <w:tcPr>
            <w:tcW w:w="2066" w:type="dxa"/>
            <w:gridSpan w:val="3"/>
          </w:tcPr>
          <w:p w14:paraId="38A76BB9"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Eletricista de manutenção 44h</w:t>
            </w:r>
          </w:p>
        </w:tc>
        <w:tc>
          <w:tcPr>
            <w:tcW w:w="1010" w:type="dxa"/>
            <w:gridSpan w:val="2"/>
          </w:tcPr>
          <w:p w14:paraId="09DC6037"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p>
        </w:tc>
        <w:tc>
          <w:tcPr>
            <w:tcW w:w="630" w:type="dxa"/>
          </w:tcPr>
          <w:p w14:paraId="6663E6CF"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p>
        </w:tc>
        <w:tc>
          <w:tcPr>
            <w:tcW w:w="850" w:type="dxa"/>
            <w:gridSpan w:val="2"/>
          </w:tcPr>
          <w:p w14:paraId="219A8252"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270" w:type="dxa"/>
            <w:gridSpan w:val="4"/>
          </w:tcPr>
          <w:p w14:paraId="3F864594"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24</w:t>
            </w:r>
          </w:p>
        </w:tc>
        <w:tc>
          <w:tcPr>
            <w:tcW w:w="1231" w:type="dxa"/>
            <w:gridSpan w:val="3"/>
          </w:tcPr>
          <w:p w14:paraId="1D2804AD"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96</w:t>
            </w:r>
          </w:p>
        </w:tc>
        <w:tc>
          <w:tcPr>
            <w:tcW w:w="1002" w:type="dxa"/>
            <w:gridSpan w:val="3"/>
            <w:noWrap/>
          </w:tcPr>
          <w:p w14:paraId="23482662" w14:textId="77777777" w:rsidR="00404D08" w:rsidRDefault="00404D08">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c>
          <w:tcPr>
            <w:tcW w:w="851" w:type="dxa"/>
            <w:gridSpan w:val="5"/>
            <w:noWrap/>
          </w:tcPr>
          <w:p w14:paraId="21F546A9" w14:textId="77777777" w:rsidR="00404D08" w:rsidRDefault="00404D08">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r>
      <w:tr w:rsidR="00404D08" w14:paraId="2818BCAE" w14:textId="77777777" w:rsidTr="00404D08">
        <w:trPr>
          <w:gridAfter w:val="1"/>
          <w:wAfter w:w="147" w:type="dxa"/>
          <w:trHeight w:val="765"/>
        </w:trPr>
        <w:tc>
          <w:tcPr>
            <w:cnfStyle w:val="001000000000" w:firstRow="0" w:lastRow="0" w:firstColumn="1" w:lastColumn="0" w:oddVBand="0" w:evenVBand="0" w:oddHBand="0" w:evenHBand="0" w:firstRowFirstColumn="0" w:firstRowLastColumn="0" w:lastRowFirstColumn="0" w:lastRowLastColumn="0"/>
            <w:tcW w:w="684" w:type="dxa"/>
            <w:shd w:val="clear" w:color="auto" w:fill="DBE5F1" w:themeFill="accent1" w:themeFillTint="33"/>
          </w:tcPr>
          <w:p w14:paraId="15B6FA17"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4</w:t>
            </w:r>
          </w:p>
        </w:tc>
        <w:tc>
          <w:tcPr>
            <w:tcW w:w="2066" w:type="dxa"/>
            <w:gridSpan w:val="3"/>
            <w:shd w:val="clear" w:color="auto" w:fill="DBE5F1" w:themeFill="accent1" w:themeFillTint="33"/>
          </w:tcPr>
          <w:p w14:paraId="27A50B64"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Engenheiro Mecânico / Automação</w:t>
            </w:r>
          </w:p>
        </w:tc>
        <w:tc>
          <w:tcPr>
            <w:tcW w:w="1010" w:type="dxa"/>
            <w:gridSpan w:val="2"/>
            <w:shd w:val="clear" w:color="auto" w:fill="DBE5F1" w:themeFill="accent1" w:themeFillTint="33"/>
          </w:tcPr>
          <w:p w14:paraId="01B2B64D"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p>
        </w:tc>
        <w:tc>
          <w:tcPr>
            <w:tcW w:w="630" w:type="dxa"/>
            <w:shd w:val="clear" w:color="auto" w:fill="DBE5F1" w:themeFill="accent1" w:themeFillTint="33"/>
          </w:tcPr>
          <w:p w14:paraId="40085993"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p>
        </w:tc>
        <w:tc>
          <w:tcPr>
            <w:tcW w:w="850" w:type="dxa"/>
            <w:gridSpan w:val="2"/>
            <w:shd w:val="clear" w:color="auto" w:fill="DBE5F1" w:themeFill="accent1" w:themeFillTint="33"/>
          </w:tcPr>
          <w:p w14:paraId="1B613FB0"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270" w:type="dxa"/>
            <w:gridSpan w:val="4"/>
            <w:shd w:val="clear" w:color="auto" w:fill="DBE5F1" w:themeFill="accent1" w:themeFillTint="33"/>
          </w:tcPr>
          <w:p w14:paraId="7CD500E6"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24</w:t>
            </w:r>
          </w:p>
        </w:tc>
        <w:tc>
          <w:tcPr>
            <w:tcW w:w="1231" w:type="dxa"/>
            <w:gridSpan w:val="3"/>
            <w:shd w:val="clear" w:color="auto" w:fill="DBE5F1" w:themeFill="accent1" w:themeFillTint="33"/>
          </w:tcPr>
          <w:p w14:paraId="12908014"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96</w:t>
            </w:r>
          </w:p>
        </w:tc>
        <w:tc>
          <w:tcPr>
            <w:tcW w:w="1002" w:type="dxa"/>
            <w:gridSpan w:val="3"/>
            <w:shd w:val="clear" w:color="auto" w:fill="DBE5F1" w:themeFill="accent1" w:themeFillTint="33"/>
            <w:noWrap/>
          </w:tcPr>
          <w:p w14:paraId="4C8E30F1" w14:textId="77777777" w:rsidR="00404D08" w:rsidRDefault="00404D08">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c>
          <w:tcPr>
            <w:tcW w:w="851" w:type="dxa"/>
            <w:gridSpan w:val="5"/>
            <w:shd w:val="clear" w:color="auto" w:fill="DBE5F1" w:themeFill="accent1" w:themeFillTint="33"/>
            <w:noWrap/>
          </w:tcPr>
          <w:p w14:paraId="05F877CE" w14:textId="77777777" w:rsidR="00404D08" w:rsidRDefault="00404D08">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r>
      <w:tr w:rsidR="00404D08" w14:paraId="01FC82F1" w14:textId="77777777" w:rsidTr="00404D08">
        <w:trPr>
          <w:gridAfter w:val="1"/>
          <w:wAfter w:w="147" w:type="dxa"/>
          <w:trHeight w:val="300"/>
        </w:trPr>
        <w:tc>
          <w:tcPr>
            <w:cnfStyle w:val="001000000000" w:firstRow="0" w:lastRow="0" w:firstColumn="1" w:lastColumn="0" w:oddVBand="0" w:evenVBand="0" w:oddHBand="0" w:evenHBand="0" w:firstRowFirstColumn="0" w:firstRowLastColumn="0" w:lastRowFirstColumn="0" w:lastRowLastColumn="0"/>
            <w:tcW w:w="2750" w:type="dxa"/>
            <w:gridSpan w:val="4"/>
            <w:noWrap/>
          </w:tcPr>
          <w:p w14:paraId="580B2472"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TOTAL</w:t>
            </w:r>
          </w:p>
        </w:tc>
        <w:tc>
          <w:tcPr>
            <w:tcW w:w="1010" w:type="dxa"/>
            <w:gridSpan w:val="2"/>
            <w:noWrap/>
          </w:tcPr>
          <w:p w14:paraId="3E81FCF6"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 </w:t>
            </w:r>
          </w:p>
        </w:tc>
        <w:tc>
          <w:tcPr>
            <w:tcW w:w="630" w:type="dxa"/>
            <w:noWrap/>
          </w:tcPr>
          <w:p w14:paraId="1BD23127"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 </w:t>
            </w:r>
          </w:p>
        </w:tc>
        <w:tc>
          <w:tcPr>
            <w:tcW w:w="850" w:type="dxa"/>
            <w:gridSpan w:val="2"/>
          </w:tcPr>
          <w:p w14:paraId="69B45917"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 </w:t>
            </w:r>
          </w:p>
        </w:tc>
        <w:tc>
          <w:tcPr>
            <w:tcW w:w="1270" w:type="dxa"/>
            <w:gridSpan w:val="4"/>
          </w:tcPr>
          <w:p w14:paraId="46CAC2D6"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80</w:t>
            </w:r>
          </w:p>
        </w:tc>
        <w:tc>
          <w:tcPr>
            <w:tcW w:w="1231" w:type="dxa"/>
            <w:gridSpan w:val="3"/>
          </w:tcPr>
          <w:p w14:paraId="6BA172C4"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960</w:t>
            </w:r>
          </w:p>
        </w:tc>
        <w:tc>
          <w:tcPr>
            <w:tcW w:w="1002" w:type="dxa"/>
            <w:gridSpan w:val="3"/>
            <w:noWrap/>
          </w:tcPr>
          <w:p w14:paraId="2BBCC00A" w14:textId="77777777" w:rsidR="00404D08" w:rsidRDefault="00404D08">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color w:val="000000"/>
                <w:szCs w:val="22"/>
              </w:rPr>
            </w:pPr>
          </w:p>
        </w:tc>
        <w:tc>
          <w:tcPr>
            <w:tcW w:w="851" w:type="dxa"/>
            <w:gridSpan w:val="5"/>
            <w:noWrap/>
          </w:tcPr>
          <w:p w14:paraId="03201CC6" w14:textId="77777777" w:rsidR="00404D08" w:rsidRDefault="00404D08">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color w:val="000000"/>
                <w:szCs w:val="22"/>
              </w:rPr>
            </w:pPr>
          </w:p>
        </w:tc>
      </w:tr>
      <w:tr w:rsidR="00404D08" w14:paraId="358D22E2" w14:textId="77777777" w:rsidTr="00404D08">
        <w:trPr>
          <w:gridAfter w:val="3"/>
          <w:wAfter w:w="861" w:type="dxa"/>
          <w:trHeight w:val="300"/>
        </w:trPr>
        <w:tc>
          <w:tcPr>
            <w:cnfStyle w:val="001000000000" w:firstRow="0" w:lastRow="0" w:firstColumn="1" w:lastColumn="0" w:oddVBand="0" w:evenVBand="0" w:oddHBand="0" w:evenHBand="0" w:firstRowFirstColumn="0" w:firstRowLastColumn="0" w:lastRowFirstColumn="0" w:lastRowLastColumn="0"/>
            <w:tcW w:w="8880" w:type="dxa"/>
            <w:gridSpan w:val="22"/>
            <w:shd w:val="clear" w:color="auto" w:fill="DBE5F1" w:themeFill="accent1" w:themeFillTint="33"/>
            <w:noWrap/>
          </w:tcPr>
          <w:p w14:paraId="4F381512"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Custo serviços acessórios, sem DEMO</w:t>
            </w:r>
          </w:p>
        </w:tc>
      </w:tr>
      <w:tr w:rsidR="00404D08" w14:paraId="38003DC4" w14:textId="77777777" w:rsidTr="00404D08">
        <w:trPr>
          <w:gridAfter w:val="4"/>
          <w:wAfter w:w="894" w:type="dxa"/>
          <w:trHeight w:val="600"/>
        </w:trPr>
        <w:tc>
          <w:tcPr>
            <w:cnfStyle w:val="001000000000" w:firstRow="0" w:lastRow="0" w:firstColumn="1" w:lastColumn="0" w:oddVBand="0" w:evenVBand="0" w:oddHBand="0" w:evenHBand="0" w:firstRowFirstColumn="0" w:firstRowLastColumn="0" w:lastRowFirstColumn="0" w:lastRowLastColumn="0"/>
            <w:tcW w:w="1006" w:type="dxa"/>
            <w:gridSpan w:val="3"/>
          </w:tcPr>
          <w:p w14:paraId="02801804"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ITEM</w:t>
            </w:r>
          </w:p>
        </w:tc>
        <w:tc>
          <w:tcPr>
            <w:tcW w:w="1744" w:type="dxa"/>
          </w:tcPr>
          <w:p w14:paraId="0725F1C0"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DISCRIMINAÇÃO DO SERVIÇO</w:t>
            </w:r>
          </w:p>
        </w:tc>
        <w:tc>
          <w:tcPr>
            <w:tcW w:w="1010" w:type="dxa"/>
            <w:gridSpan w:val="2"/>
          </w:tcPr>
          <w:p w14:paraId="55B8113E"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Custo Unitário</w:t>
            </w:r>
          </w:p>
        </w:tc>
        <w:tc>
          <w:tcPr>
            <w:tcW w:w="630" w:type="dxa"/>
          </w:tcPr>
          <w:p w14:paraId="117A54BA"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BDI</w:t>
            </w:r>
          </w:p>
        </w:tc>
        <w:tc>
          <w:tcPr>
            <w:tcW w:w="919" w:type="dxa"/>
            <w:gridSpan w:val="3"/>
          </w:tcPr>
          <w:p w14:paraId="1D112CA1"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Custo total do Serviço</w:t>
            </w:r>
          </w:p>
        </w:tc>
        <w:tc>
          <w:tcPr>
            <w:tcW w:w="1304" w:type="dxa"/>
            <w:gridSpan w:val="4"/>
          </w:tcPr>
          <w:p w14:paraId="36E9D3C9"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Quantidade Mês</w:t>
            </w:r>
          </w:p>
        </w:tc>
        <w:tc>
          <w:tcPr>
            <w:tcW w:w="1203" w:type="dxa"/>
            <w:gridSpan w:val="3"/>
          </w:tcPr>
          <w:p w14:paraId="436EA1CF"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Custo total do mês</w:t>
            </w:r>
          </w:p>
        </w:tc>
        <w:tc>
          <w:tcPr>
            <w:tcW w:w="1031" w:type="dxa"/>
            <w:gridSpan w:val="4"/>
          </w:tcPr>
          <w:p w14:paraId="0642493C"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Custo total do ano</w:t>
            </w:r>
          </w:p>
        </w:tc>
      </w:tr>
      <w:tr w:rsidR="00404D08" w14:paraId="2AFA4DD3" w14:textId="77777777" w:rsidTr="00404D08">
        <w:trPr>
          <w:gridAfter w:val="4"/>
          <w:wAfter w:w="894" w:type="dxa"/>
          <w:trHeight w:val="765"/>
        </w:trPr>
        <w:tc>
          <w:tcPr>
            <w:cnfStyle w:val="001000000000" w:firstRow="0" w:lastRow="0" w:firstColumn="1" w:lastColumn="0" w:oddVBand="0" w:evenVBand="0" w:oddHBand="0" w:evenHBand="0" w:firstRowFirstColumn="0" w:firstRowLastColumn="0" w:lastRowFirstColumn="0" w:lastRowLastColumn="0"/>
            <w:tcW w:w="1006" w:type="dxa"/>
            <w:gridSpan w:val="3"/>
            <w:shd w:val="clear" w:color="auto" w:fill="DBE5F1" w:themeFill="accent1" w:themeFillTint="33"/>
          </w:tcPr>
          <w:p w14:paraId="7C4E602A"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lastRenderedPageBreak/>
              <w:t>1</w:t>
            </w:r>
          </w:p>
        </w:tc>
        <w:tc>
          <w:tcPr>
            <w:tcW w:w="1744" w:type="dxa"/>
            <w:shd w:val="clear" w:color="auto" w:fill="DBE5F1" w:themeFill="accent1" w:themeFillTint="33"/>
          </w:tcPr>
          <w:p w14:paraId="65CC34E6"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Controle microbiológico / qualidade do ar</w:t>
            </w:r>
          </w:p>
        </w:tc>
        <w:tc>
          <w:tcPr>
            <w:tcW w:w="1010" w:type="dxa"/>
            <w:gridSpan w:val="2"/>
            <w:shd w:val="clear" w:color="auto" w:fill="DBE5F1" w:themeFill="accent1" w:themeFillTint="33"/>
          </w:tcPr>
          <w:p w14:paraId="66164F51"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p>
        </w:tc>
        <w:tc>
          <w:tcPr>
            <w:tcW w:w="630" w:type="dxa"/>
            <w:shd w:val="clear" w:color="auto" w:fill="DBE5F1" w:themeFill="accent1" w:themeFillTint="33"/>
          </w:tcPr>
          <w:p w14:paraId="00EDC89F"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p>
        </w:tc>
        <w:tc>
          <w:tcPr>
            <w:tcW w:w="919" w:type="dxa"/>
            <w:gridSpan w:val="3"/>
            <w:shd w:val="clear" w:color="auto" w:fill="DBE5F1" w:themeFill="accent1" w:themeFillTint="33"/>
          </w:tcPr>
          <w:p w14:paraId="3D362858"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304" w:type="dxa"/>
            <w:gridSpan w:val="4"/>
            <w:shd w:val="clear" w:color="auto" w:fill="DBE5F1" w:themeFill="accent1" w:themeFillTint="33"/>
          </w:tcPr>
          <w:p w14:paraId="61B694BB"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14</w:t>
            </w:r>
          </w:p>
        </w:tc>
        <w:tc>
          <w:tcPr>
            <w:tcW w:w="1203" w:type="dxa"/>
            <w:gridSpan w:val="3"/>
            <w:shd w:val="clear" w:color="auto" w:fill="DBE5F1" w:themeFill="accent1" w:themeFillTint="33"/>
            <w:noWrap/>
          </w:tcPr>
          <w:p w14:paraId="3474AA4B" w14:textId="77777777" w:rsidR="00404D08" w:rsidRDefault="00404D08">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c>
          <w:tcPr>
            <w:tcW w:w="1031" w:type="dxa"/>
            <w:gridSpan w:val="4"/>
            <w:shd w:val="clear" w:color="auto" w:fill="DBE5F1" w:themeFill="accent1" w:themeFillTint="33"/>
            <w:noWrap/>
          </w:tcPr>
          <w:p w14:paraId="7AB5C959" w14:textId="77777777" w:rsidR="00404D08" w:rsidRDefault="00404D08">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r>
      <w:tr w:rsidR="00404D08" w14:paraId="453A3392" w14:textId="77777777" w:rsidTr="00404D08">
        <w:trPr>
          <w:gridAfter w:val="4"/>
          <w:wAfter w:w="894" w:type="dxa"/>
          <w:trHeight w:val="510"/>
        </w:trPr>
        <w:tc>
          <w:tcPr>
            <w:cnfStyle w:val="001000000000" w:firstRow="0" w:lastRow="0" w:firstColumn="1" w:lastColumn="0" w:oddVBand="0" w:evenVBand="0" w:oddHBand="0" w:evenHBand="0" w:firstRowFirstColumn="0" w:firstRowLastColumn="0" w:lastRowFirstColumn="0" w:lastRowLastColumn="0"/>
            <w:tcW w:w="1006" w:type="dxa"/>
            <w:gridSpan w:val="3"/>
          </w:tcPr>
          <w:p w14:paraId="5F88601B"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2</w:t>
            </w:r>
          </w:p>
        </w:tc>
        <w:tc>
          <w:tcPr>
            <w:tcW w:w="1744" w:type="dxa"/>
          </w:tcPr>
          <w:p w14:paraId="0DDBDE74"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Análise físico - química água</w:t>
            </w:r>
          </w:p>
        </w:tc>
        <w:tc>
          <w:tcPr>
            <w:tcW w:w="1010" w:type="dxa"/>
            <w:gridSpan w:val="2"/>
          </w:tcPr>
          <w:p w14:paraId="46F1B82B"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p>
        </w:tc>
        <w:tc>
          <w:tcPr>
            <w:tcW w:w="630" w:type="dxa"/>
          </w:tcPr>
          <w:p w14:paraId="42333405"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p>
        </w:tc>
        <w:tc>
          <w:tcPr>
            <w:tcW w:w="919" w:type="dxa"/>
            <w:gridSpan w:val="3"/>
          </w:tcPr>
          <w:p w14:paraId="415F7AF5"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304" w:type="dxa"/>
            <w:gridSpan w:val="4"/>
          </w:tcPr>
          <w:p w14:paraId="06FCEC5D"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8</w:t>
            </w:r>
          </w:p>
        </w:tc>
        <w:tc>
          <w:tcPr>
            <w:tcW w:w="1203" w:type="dxa"/>
            <w:gridSpan w:val="3"/>
            <w:noWrap/>
          </w:tcPr>
          <w:p w14:paraId="300459B8" w14:textId="77777777" w:rsidR="00404D08" w:rsidRDefault="00404D08">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c>
          <w:tcPr>
            <w:tcW w:w="1031" w:type="dxa"/>
            <w:gridSpan w:val="4"/>
            <w:noWrap/>
          </w:tcPr>
          <w:p w14:paraId="31F2A895" w14:textId="77777777" w:rsidR="00404D08" w:rsidRDefault="00404D08">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r>
      <w:tr w:rsidR="00404D08" w14:paraId="54CB3BDD" w14:textId="77777777" w:rsidTr="00404D08">
        <w:trPr>
          <w:gridAfter w:val="4"/>
          <w:wAfter w:w="894" w:type="dxa"/>
          <w:trHeight w:val="300"/>
        </w:trPr>
        <w:tc>
          <w:tcPr>
            <w:cnfStyle w:val="001000000000" w:firstRow="0" w:lastRow="0" w:firstColumn="1" w:lastColumn="0" w:oddVBand="0" w:evenVBand="0" w:oddHBand="0" w:evenHBand="0" w:firstRowFirstColumn="0" w:firstRowLastColumn="0" w:lastRowFirstColumn="0" w:lastRowLastColumn="0"/>
            <w:tcW w:w="2750" w:type="dxa"/>
            <w:gridSpan w:val="4"/>
            <w:shd w:val="clear" w:color="auto" w:fill="DBE5F1" w:themeFill="accent1" w:themeFillTint="33"/>
            <w:noWrap/>
          </w:tcPr>
          <w:p w14:paraId="64D940E7"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TOTAL</w:t>
            </w:r>
          </w:p>
        </w:tc>
        <w:tc>
          <w:tcPr>
            <w:tcW w:w="1010" w:type="dxa"/>
            <w:gridSpan w:val="2"/>
            <w:shd w:val="clear" w:color="auto" w:fill="DBE5F1" w:themeFill="accent1" w:themeFillTint="33"/>
            <w:noWrap/>
          </w:tcPr>
          <w:p w14:paraId="7D9BC817"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 </w:t>
            </w:r>
          </w:p>
        </w:tc>
        <w:tc>
          <w:tcPr>
            <w:tcW w:w="630" w:type="dxa"/>
            <w:shd w:val="clear" w:color="auto" w:fill="DBE5F1" w:themeFill="accent1" w:themeFillTint="33"/>
            <w:noWrap/>
          </w:tcPr>
          <w:p w14:paraId="5C5802F4"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 </w:t>
            </w:r>
          </w:p>
        </w:tc>
        <w:tc>
          <w:tcPr>
            <w:tcW w:w="919" w:type="dxa"/>
            <w:gridSpan w:val="3"/>
            <w:shd w:val="clear" w:color="auto" w:fill="DBE5F1" w:themeFill="accent1" w:themeFillTint="33"/>
          </w:tcPr>
          <w:p w14:paraId="37763A5C"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 </w:t>
            </w:r>
          </w:p>
        </w:tc>
        <w:tc>
          <w:tcPr>
            <w:tcW w:w="1304" w:type="dxa"/>
            <w:gridSpan w:val="4"/>
            <w:shd w:val="clear" w:color="auto" w:fill="DBE5F1" w:themeFill="accent1" w:themeFillTint="33"/>
          </w:tcPr>
          <w:p w14:paraId="4DA9AE97"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 </w:t>
            </w:r>
          </w:p>
        </w:tc>
        <w:tc>
          <w:tcPr>
            <w:tcW w:w="1203" w:type="dxa"/>
            <w:gridSpan w:val="3"/>
            <w:shd w:val="clear" w:color="auto" w:fill="DBE5F1" w:themeFill="accent1" w:themeFillTint="33"/>
            <w:noWrap/>
          </w:tcPr>
          <w:p w14:paraId="019BC887" w14:textId="77777777" w:rsidR="00404D08" w:rsidRDefault="00404D08">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color w:val="000000"/>
                <w:szCs w:val="22"/>
              </w:rPr>
            </w:pPr>
          </w:p>
        </w:tc>
        <w:tc>
          <w:tcPr>
            <w:tcW w:w="1031" w:type="dxa"/>
            <w:gridSpan w:val="4"/>
            <w:shd w:val="clear" w:color="auto" w:fill="DBE5F1" w:themeFill="accent1" w:themeFillTint="33"/>
            <w:noWrap/>
          </w:tcPr>
          <w:p w14:paraId="50688536" w14:textId="77777777" w:rsidR="00404D08" w:rsidRDefault="00404D08">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color w:val="000000"/>
                <w:szCs w:val="22"/>
              </w:rPr>
            </w:pPr>
          </w:p>
        </w:tc>
      </w:tr>
      <w:tr w:rsidR="00404D08" w14:paraId="714A8192" w14:textId="77777777" w:rsidTr="00404D08">
        <w:trPr>
          <w:gridAfter w:val="5"/>
          <w:wAfter w:w="916" w:type="dxa"/>
          <w:trHeight w:val="300"/>
        </w:trPr>
        <w:tc>
          <w:tcPr>
            <w:cnfStyle w:val="001000000000" w:firstRow="0" w:lastRow="0" w:firstColumn="1" w:lastColumn="0" w:oddVBand="0" w:evenVBand="0" w:oddHBand="0" w:evenHBand="0" w:firstRowFirstColumn="0" w:firstRowLastColumn="0" w:lastRowFirstColumn="0" w:lastRowLastColumn="0"/>
            <w:tcW w:w="8825" w:type="dxa"/>
            <w:gridSpan w:val="20"/>
            <w:noWrap/>
          </w:tcPr>
          <w:p w14:paraId="13C46B06"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Custo serviços acessórios, sem DEMO</w:t>
            </w:r>
          </w:p>
        </w:tc>
      </w:tr>
      <w:tr w:rsidR="00404D08" w14:paraId="4292B834" w14:textId="77777777" w:rsidTr="00404D08">
        <w:trPr>
          <w:gridAfter w:val="2"/>
          <w:wAfter w:w="463" w:type="dxa"/>
          <w:trHeight w:val="900"/>
        </w:trPr>
        <w:tc>
          <w:tcPr>
            <w:cnfStyle w:val="001000000000" w:firstRow="0" w:lastRow="0" w:firstColumn="1" w:lastColumn="0" w:oddVBand="0" w:evenVBand="0" w:oddHBand="0" w:evenHBand="0" w:firstRowFirstColumn="0" w:firstRowLastColumn="0" w:lastRowFirstColumn="0" w:lastRowLastColumn="0"/>
            <w:tcW w:w="958" w:type="dxa"/>
            <w:gridSpan w:val="2"/>
            <w:shd w:val="clear" w:color="auto" w:fill="DBE5F1" w:themeFill="accent1" w:themeFillTint="33"/>
          </w:tcPr>
          <w:p w14:paraId="5259A750"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ITEM</w:t>
            </w:r>
          </w:p>
        </w:tc>
        <w:tc>
          <w:tcPr>
            <w:tcW w:w="2544" w:type="dxa"/>
            <w:gridSpan w:val="3"/>
            <w:shd w:val="clear" w:color="auto" w:fill="DBE5F1" w:themeFill="accent1" w:themeFillTint="33"/>
          </w:tcPr>
          <w:p w14:paraId="547489D8"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DISCRIMINAÇÃO</w:t>
            </w:r>
          </w:p>
        </w:tc>
        <w:tc>
          <w:tcPr>
            <w:tcW w:w="968" w:type="dxa"/>
            <w:gridSpan w:val="3"/>
            <w:shd w:val="clear" w:color="auto" w:fill="DBE5F1" w:themeFill="accent1" w:themeFillTint="33"/>
          </w:tcPr>
          <w:p w14:paraId="15D8FEE2"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Custo Unitário</w:t>
            </w:r>
          </w:p>
        </w:tc>
        <w:tc>
          <w:tcPr>
            <w:tcW w:w="1077" w:type="dxa"/>
            <w:gridSpan w:val="3"/>
            <w:shd w:val="clear" w:color="auto" w:fill="DBE5F1" w:themeFill="accent1" w:themeFillTint="33"/>
          </w:tcPr>
          <w:p w14:paraId="40B6EEA8"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Desconto Aplicado (Em %)</w:t>
            </w:r>
          </w:p>
        </w:tc>
        <w:tc>
          <w:tcPr>
            <w:tcW w:w="236" w:type="dxa"/>
            <w:shd w:val="clear" w:color="auto" w:fill="DBE5F1" w:themeFill="accent1" w:themeFillTint="33"/>
          </w:tcPr>
          <w:p w14:paraId="44EE729B"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BDI</w:t>
            </w:r>
          </w:p>
        </w:tc>
        <w:tc>
          <w:tcPr>
            <w:tcW w:w="1262" w:type="dxa"/>
            <w:gridSpan w:val="3"/>
            <w:shd w:val="clear" w:color="auto" w:fill="DBE5F1" w:themeFill="accent1" w:themeFillTint="33"/>
          </w:tcPr>
          <w:p w14:paraId="0AAF7A68"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Custo total do mês</w:t>
            </w:r>
          </w:p>
        </w:tc>
        <w:tc>
          <w:tcPr>
            <w:tcW w:w="1224" w:type="dxa"/>
            <w:gridSpan w:val="3"/>
            <w:shd w:val="clear" w:color="auto" w:fill="DBE5F1" w:themeFill="accent1" w:themeFillTint="33"/>
          </w:tcPr>
          <w:p w14:paraId="08F78FF2"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Custo total do ano</w:t>
            </w:r>
          </w:p>
        </w:tc>
        <w:tc>
          <w:tcPr>
            <w:tcW w:w="1009" w:type="dxa"/>
            <w:gridSpan w:val="5"/>
            <w:shd w:val="clear" w:color="auto" w:fill="DBE5F1" w:themeFill="accent1" w:themeFillTint="33"/>
            <w:noWrap/>
          </w:tcPr>
          <w:p w14:paraId="1C59F82E"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Custo total 30 meses</w:t>
            </w:r>
          </w:p>
        </w:tc>
      </w:tr>
      <w:tr w:rsidR="00404D08" w14:paraId="2B4952FC" w14:textId="77777777" w:rsidTr="00404D08">
        <w:trPr>
          <w:gridAfter w:val="2"/>
          <w:wAfter w:w="463" w:type="dxa"/>
          <w:trHeight w:val="765"/>
        </w:trPr>
        <w:tc>
          <w:tcPr>
            <w:cnfStyle w:val="001000000000" w:firstRow="0" w:lastRow="0" w:firstColumn="1" w:lastColumn="0" w:oddVBand="0" w:evenVBand="0" w:oddHBand="0" w:evenHBand="0" w:firstRowFirstColumn="0" w:firstRowLastColumn="0" w:lastRowFirstColumn="0" w:lastRowLastColumn="0"/>
            <w:tcW w:w="958" w:type="dxa"/>
            <w:gridSpan w:val="2"/>
          </w:tcPr>
          <w:p w14:paraId="11B18546"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1</w:t>
            </w:r>
          </w:p>
        </w:tc>
        <w:tc>
          <w:tcPr>
            <w:tcW w:w="2544" w:type="dxa"/>
            <w:gridSpan w:val="3"/>
          </w:tcPr>
          <w:p w14:paraId="625294DC"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r>
              <w:rPr>
                <w:rFonts w:asciiTheme="minorHAnsi" w:eastAsiaTheme="minorEastAsia" w:hAnsiTheme="minorHAnsi" w:cstheme="minorHAnsi"/>
                <w:szCs w:val="22"/>
              </w:rPr>
              <w:t>Peças para manutenção (30% mão de obra)</w:t>
            </w:r>
          </w:p>
        </w:tc>
        <w:tc>
          <w:tcPr>
            <w:tcW w:w="968" w:type="dxa"/>
            <w:gridSpan w:val="3"/>
          </w:tcPr>
          <w:p w14:paraId="1525B23D"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p>
        </w:tc>
        <w:tc>
          <w:tcPr>
            <w:tcW w:w="1077" w:type="dxa"/>
            <w:gridSpan w:val="3"/>
          </w:tcPr>
          <w:p w14:paraId="62337A5E"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p>
        </w:tc>
        <w:tc>
          <w:tcPr>
            <w:tcW w:w="236" w:type="dxa"/>
          </w:tcPr>
          <w:p w14:paraId="6BEA486E"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p>
        </w:tc>
        <w:tc>
          <w:tcPr>
            <w:tcW w:w="1262" w:type="dxa"/>
            <w:gridSpan w:val="3"/>
          </w:tcPr>
          <w:p w14:paraId="15E98D76"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p>
        </w:tc>
        <w:tc>
          <w:tcPr>
            <w:tcW w:w="1224" w:type="dxa"/>
            <w:gridSpan w:val="3"/>
            <w:noWrap/>
          </w:tcPr>
          <w:p w14:paraId="3BE4B81E"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c>
          <w:tcPr>
            <w:tcW w:w="1009" w:type="dxa"/>
            <w:gridSpan w:val="5"/>
            <w:noWrap/>
          </w:tcPr>
          <w:p w14:paraId="50781EFB"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r>
      <w:tr w:rsidR="00404D08" w14:paraId="5E210C4A" w14:textId="77777777" w:rsidTr="00404D08">
        <w:trPr>
          <w:gridAfter w:val="2"/>
          <w:wAfter w:w="463" w:type="dxa"/>
          <w:trHeight w:val="300"/>
        </w:trPr>
        <w:tc>
          <w:tcPr>
            <w:cnfStyle w:val="001000000000" w:firstRow="0" w:lastRow="0" w:firstColumn="1" w:lastColumn="0" w:oddVBand="0" w:evenVBand="0" w:oddHBand="0" w:evenHBand="0" w:firstRowFirstColumn="0" w:firstRowLastColumn="0" w:lastRowFirstColumn="0" w:lastRowLastColumn="0"/>
            <w:tcW w:w="3502" w:type="dxa"/>
            <w:gridSpan w:val="5"/>
            <w:shd w:val="clear" w:color="auto" w:fill="DBE5F1" w:themeFill="accent1" w:themeFillTint="33"/>
            <w:noWrap/>
          </w:tcPr>
          <w:p w14:paraId="3701522F" w14:textId="77777777" w:rsidR="00404D08" w:rsidRDefault="00000000">
            <w:pPr>
              <w:suppressAutoHyphens w:val="0"/>
              <w:jc w:val="center"/>
              <w:rPr>
                <w:rFonts w:asciiTheme="minorHAnsi" w:eastAsiaTheme="minorEastAsia" w:hAnsiTheme="minorHAnsi" w:cstheme="minorHAnsi"/>
                <w:b w:val="0"/>
                <w:bCs w:val="0"/>
                <w:szCs w:val="22"/>
              </w:rPr>
            </w:pPr>
            <w:r>
              <w:rPr>
                <w:rFonts w:asciiTheme="minorHAnsi" w:eastAsiaTheme="minorEastAsia" w:hAnsiTheme="minorHAnsi" w:cstheme="minorHAnsi"/>
                <w:szCs w:val="22"/>
              </w:rPr>
              <w:t>TOTAL</w:t>
            </w:r>
          </w:p>
        </w:tc>
        <w:tc>
          <w:tcPr>
            <w:tcW w:w="968" w:type="dxa"/>
            <w:gridSpan w:val="3"/>
            <w:shd w:val="clear" w:color="auto" w:fill="DBE5F1" w:themeFill="accent1" w:themeFillTint="33"/>
            <w:noWrap/>
          </w:tcPr>
          <w:p w14:paraId="48BA973C"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 </w:t>
            </w:r>
          </w:p>
        </w:tc>
        <w:tc>
          <w:tcPr>
            <w:tcW w:w="1077" w:type="dxa"/>
            <w:gridSpan w:val="3"/>
            <w:shd w:val="clear" w:color="auto" w:fill="DBE5F1" w:themeFill="accent1" w:themeFillTint="33"/>
            <w:noWrap/>
          </w:tcPr>
          <w:p w14:paraId="3948C18C"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 </w:t>
            </w:r>
          </w:p>
        </w:tc>
        <w:tc>
          <w:tcPr>
            <w:tcW w:w="236" w:type="dxa"/>
            <w:shd w:val="clear" w:color="auto" w:fill="DBE5F1" w:themeFill="accent1" w:themeFillTint="33"/>
          </w:tcPr>
          <w:p w14:paraId="3735EF27"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szCs w:val="22"/>
              </w:rPr>
            </w:pPr>
            <w:r>
              <w:rPr>
                <w:rFonts w:asciiTheme="minorHAnsi" w:eastAsiaTheme="minorEastAsia" w:hAnsiTheme="minorHAnsi" w:cstheme="minorHAnsi"/>
                <w:b/>
                <w:bCs/>
                <w:szCs w:val="22"/>
              </w:rPr>
              <w:t> </w:t>
            </w:r>
          </w:p>
        </w:tc>
        <w:tc>
          <w:tcPr>
            <w:tcW w:w="1262" w:type="dxa"/>
            <w:gridSpan w:val="3"/>
            <w:shd w:val="clear" w:color="auto" w:fill="DBE5F1" w:themeFill="accent1" w:themeFillTint="33"/>
            <w:noWrap/>
          </w:tcPr>
          <w:p w14:paraId="2B247619" w14:textId="77777777" w:rsidR="00404D08" w:rsidRDefault="00000000">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color w:val="000000"/>
                <w:szCs w:val="22"/>
              </w:rPr>
            </w:pPr>
            <w:r>
              <w:rPr>
                <w:rFonts w:asciiTheme="minorHAnsi" w:eastAsiaTheme="minorEastAsia" w:hAnsiTheme="minorHAnsi" w:cstheme="minorHAnsi"/>
                <w:b/>
                <w:bCs/>
                <w:color w:val="000000"/>
                <w:szCs w:val="22"/>
              </w:rPr>
              <w:t xml:space="preserve"> R$       44.328,15 </w:t>
            </w:r>
          </w:p>
        </w:tc>
        <w:tc>
          <w:tcPr>
            <w:tcW w:w="1224" w:type="dxa"/>
            <w:gridSpan w:val="3"/>
            <w:shd w:val="clear" w:color="auto" w:fill="DBE5F1" w:themeFill="accent1" w:themeFillTint="33"/>
            <w:noWrap/>
          </w:tcPr>
          <w:p w14:paraId="30D36923" w14:textId="77777777" w:rsidR="00404D08" w:rsidRDefault="00000000">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color w:val="000000"/>
                <w:szCs w:val="22"/>
              </w:rPr>
            </w:pPr>
            <w:r>
              <w:rPr>
                <w:rFonts w:asciiTheme="minorHAnsi" w:eastAsiaTheme="minorEastAsia" w:hAnsiTheme="minorHAnsi" w:cstheme="minorHAnsi"/>
                <w:b/>
                <w:bCs/>
                <w:color w:val="000000"/>
                <w:szCs w:val="22"/>
              </w:rPr>
              <w:t xml:space="preserve"> R$      531.937,80 </w:t>
            </w:r>
          </w:p>
        </w:tc>
        <w:tc>
          <w:tcPr>
            <w:tcW w:w="1009" w:type="dxa"/>
            <w:gridSpan w:val="5"/>
            <w:shd w:val="clear" w:color="auto" w:fill="DBE5F1" w:themeFill="accent1" w:themeFillTint="33"/>
            <w:noWrap/>
          </w:tcPr>
          <w:p w14:paraId="39752534" w14:textId="77777777" w:rsidR="00404D08" w:rsidRDefault="00404D08">
            <w:pPr>
              <w:suppressAutoHyphens w:val="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color w:val="000000"/>
                <w:szCs w:val="22"/>
              </w:rPr>
            </w:pPr>
          </w:p>
        </w:tc>
      </w:tr>
    </w:tbl>
    <w:p w14:paraId="34E148E7" w14:textId="77777777" w:rsidR="00404D08" w:rsidRDefault="00404D08">
      <w:pPr>
        <w:pStyle w:val="Nivel2"/>
        <w:numPr>
          <w:ilvl w:val="0"/>
          <w:numId w:val="0"/>
        </w:numPr>
        <w:spacing w:afterLines="120" w:after="288" w:line="312" w:lineRule="auto"/>
        <w:ind w:left="858" w:hanging="432"/>
        <w:rPr>
          <w:rFonts w:asciiTheme="minorHAnsi" w:hAnsiTheme="minorHAnsi" w:cstheme="minorHAnsi"/>
          <w:sz w:val="22"/>
          <w:szCs w:val="22"/>
        </w:rPr>
      </w:pPr>
    </w:p>
    <w:tbl>
      <w:tblPr>
        <w:tblStyle w:val="TabeladeGrade4-nfase11"/>
        <w:tblW w:w="9960" w:type="dxa"/>
        <w:tblLook w:val="04A0" w:firstRow="1" w:lastRow="0" w:firstColumn="1" w:lastColumn="0" w:noHBand="0" w:noVBand="1"/>
      </w:tblPr>
      <w:tblGrid>
        <w:gridCol w:w="684"/>
        <w:gridCol w:w="2800"/>
        <w:gridCol w:w="840"/>
        <w:gridCol w:w="831"/>
        <w:gridCol w:w="1720"/>
        <w:gridCol w:w="1540"/>
        <w:gridCol w:w="1720"/>
      </w:tblGrid>
      <w:tr w:rsidR="00404D08" w14:paraId="6F909ED7" w14:textId="77777777" w:rsidTr="00404D0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0" w:type="dxa"/>
          </w:tcPr>
          <w:p w14:paraId="41B68D7A" w14:textId="77777777" w:rsidR="00404D08" w:rsidRDefault="00000000">
            <w:pPr>
              <w:suppressAutoHyphens w:val="0"/>
              <w:jc w:val="center"/>
              <w:rPr>
                <w:rFonts w:asciiTheme="minorHAnsi" w:eastAsiaTheme="minorEastAsia" w:hAnsiTheme="minorHAnsi" w:cstheme="minorHAnsi"/>
                <w:b w:val="0"/>
                <w:bCs w:val="0"/>
                <w:color w:val="000000"/>
                <w:szCs w:val="22"/>
              </w:rPr>
            </w:pPr>
            <w:r>
              <w:rPr>
                <w:rFonts w:asciiTheme="minorHAnsi" w:eastAsiaTheme="minorEastAsia" w:hAnsiTheme="minorHAnsi" w:cstheme="minorHAnsi"/>
                <w:color w:val="000000"/>
                <w:szCs w:val="22"/>
              </w:rPr>
              <w:t>ITEM</w:t>
            </w:r>
          </w:p>
        </w:tc>
        <w:tc>
          <w:tcPr>
            <w:tcW w:w="2800" w:type="dxa"/>
          </w:tcPr>
          <w:p w14:paraId="135E46B5" w14:textId="77777777" w:rsidR="00404D08" w:rsidRDefault="00000000">
            <w:pPr>
              <w:suppressAutoHyphens w:val="0"/>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b w:val="0"/>
                <w:bCs w:val="0"/>
                <w:color w:val="000000"/>
                <w:szCs w:val="22"/>
              </w:rPr>
            </w:pPr>
            <w:r>
              <w:rPr>
                <w:rFonts w:asciiTheme="minorHAnsi" w:eastAsiaTheme="minorEastAsia" w:hAnsiTheme="minorHAnsi" w:cstheme="minorHAnsi"/>
                <w:color w:val="000000"/>
                <w:szCs w:val="22"/>
              </w:rPr>
              <w:t>DESCRIÇÃO</w:t>
            </w:r>
          </w:p>
        </w:tc>
        <w:tc>
          <w:tcPr>
            <w:tcW w:w="840" w:type="dxa"/>
          </w:tcPr>
          <w:p w14:paraId="22CB48E0" w14:textId="77777777" w:rsidR="00404D08" w:rsidRDefault="00000000">
            <w:pPr>
              <w:suppressAutoHyphens w:val="0"/>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b w:val="0"/>
                <w:bCs w:val="0"/>
                <w:color w:val="000000"/>
                <w:szCs w:val="22"/>
              </w:rPr>
            </w:pPr>
            <w:r>
              <w:rPr>
                <w:rFonts w:asciiTheme="minorHAnsi" w:eastAsiaTheme="minorEastAsia" w:hAnsiTheme="minorHAnsi" w:cstheme="minorHAnsi"/>
                <w:color w:val="000000"/>
                <w:szCs w:val="22"/>
              </w:rPr>
              <w:t>UNID</w:t>
            </w:r>
          </w:p>
        </w:tc>
        <w:tc>
          <w:tcPr>
            <w:tcW w:w="780" w:type="dxa"/>
          </w:tcPr>
          <w:p w14:paraId="6BB778E9" w14:textId="77777777" w:rsidR="00404D08" w:rsidRDefault="00000000">
            <w:pPr>
              <w:suppressAutoHyphens w:val="0"/>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b w:val="0"/>
                <w:bCs w:val="0"/>
                <w:color w:val="000000"/>
                <w:szCs w:val="22"/>
              </w:rPr>
            </w:pPr>
            <w:r>
              <w:rPr>
                <w:rFonts w:asciiTheme="minorHAnsi" w:eastAsiaTheme="minorEastAsia" w:hAnsiTheme="minorHAnsi" w:cstheme="minorHAnsi"/>
                <w:color w:val="000000"/>
                <w:szCs w:val="22"/>
              </w:rPr>
              <w:t>MESES</w:t>
            </w:r>
          </w:p>
        </w:tc>
        <w:tc>
          <w:tcPr>
            <w:tcW w:w="1720" w:type="dxa"/>
          </w:tcPr>
          <w:p w14:paraId="78A6840B" w14:textId="77777777" w:rsidR="00404D08" w:rsidRDefault="00000000">
            <w:pPr>
              <w:suppressAutoHyphens w:val="0"/>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b w:val="0"/>
                <w:bCs w:val="0"/>
                <w:color w:val="000000"/>
                <w:szCs w:val="22"/>
              </w:rPr>
            </w:pPr>
            <w:r>
              <w:rPr>
                <w:rFonts w:asciiTheme="minorHAnsi" w:eastAsiaTheme="minorEastAsia" w:hAnsiTheme="minorHAnsi" w:cstheme="minorHAnsi"/>
                <w:color w:val="000000"/>
                <w:szCs w:val="22"/>
              </w:rPr>
              <w:t>TOTAL MENSAL</w:t>
            </w:r>
          </w:p>
        </w:tc>
        <w:tc>
          <w:tcPr>
            <w:tcW w:w="1540" w:type="dxa"/>
          </w:tcPr>
          <w:p w14:paraId="27248E83" w14:textId="77777777" w:rsidR="00404D08" w:rsidRDefault="00000000">
            <w:pPr>
              <w:suppressAutoHyphens w:val="0"/>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b w:val="0"/>
                <w:bCs w:val="0"/>
                <w:color w:val="000000"/>
                <w:szCs w:val="22"/>
              </w:rPr>
            </w:pPr>
            <w:r>
              <w:rPr>
                <w:rFonts w:asciiTheme="minorHAnsi" w:eastAsiaTheme="minorEastAsia" w:hAnsiTheme="minorHAnsi" w:cstheme="minorHAnsi"/>
                <w:color w:val="000000"/>
                <w:szCs w:val="22"/>
              </w:rPr>
              <w:t>TOTAL ANUAL</w:t>
            </w:r>
          </w:p>
        </w:tc>
        <w:tc>
          <w:tcPr>
            <w:tcW w:w="1720" w:type="dxa"/>
          </w:tcPr>
          <w:p w14:paraId="407BFC73" w14:textId="77777777" w:rsidR="00404D08" w:rsidRDefault="00000000">
            <w:pPr>
              <w:suppressAutoHyphens w:val="0"/>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b w:val="0"/>
                <w:bCs w:val="0"/>
                <w:color w:val="000000"/>
                <w:szCs w:val="22"/>
              </w:rPr>
            </w:pPr>
            <w:r>
              <w:rPr>
                <w:rFonts w:asciiTheme="minorHAnsi" w:eastAsiaTheme="minorEastAsia" w:hAnsiTheme="minorHAnsi" w:cstheme="minorHAnsi"/>
                <w:color w:val="000000"/>
                <w:szCs w:val="22"/>
              </w:rPr>
              <w:t>TOTAL 30 MESES</w:t>
            </w:r>
          </w:p>
        </w:tc>
      </w:tr>
      <w:tr w:rsidR="00404D08" w14:paraId="67F3426D" w14:textId="77777777" w:rsidTr="00404D08">
        <w:trPr>
          <w:trHeight w:val="300"/>
        </w:trPr>
        <w:tc>
          <w:tcPr>
            <w:cnfStyle w:val="001000000000" w:firstRow="0" w:lastRow="0" w:firstColumn="1" w:lastColumn="0" w:oddVBand="0" w:evenVBand="0" w:oddHBand="0" w:evenHBand="0" w:firstRowFirstColumn="0" w:firstRowLastColumn="0" w:lastRowFirstColumn="0" w:lastRowLastColumn="0"/>
            <w:tcW w:w="560" w:type="dxa"/>
            <w:shd w:val="clear" w:color="auto" w:fill="DBE5F1" w:themeFill="accent1" w:themeFillTint="33"/>
            <w:noWrap/>
          </w:tcPr>
          <w:p w14:paraId="1A2AA0DC" w14:textId="77777777" w:rsidR="00404D08" w:rsidRDefault="00000000">
            <w:pPr>
              <w:suppressAutoHyphens w:val="0"/>
              <w:jc w:val="center"/>
              <w:rPr>
                <w:rFonts w:asciiTheme="minorHAnsi" w:eastAsiaTheme="minorEastAsia" w:hAnsiTheme="minorHAnsi" w:cstheme="minorHAnsi"/>
                <w:b w:val="0"/>
                <w:bCs w:val="0"/>
                <w:color w:val="000000"/>
                <w:szCs w:val="22"/>
              </w:rPr>
            </w:pPr>
            <w:r>
              <w:rPr>
                <w:rFonts w:asciiTheme="minorHAnsi" w:eastAsiaTheme="minorEastAsia" w:hAnsiTheme="minorHAnsi" w:cstheme="minorHAnsi"/>
                <w:color w:val="000000"/>
                <w:szCs w:val="22"/>
              </w:rPr>
              <w:t>1</w:t>
            </w:r>
          </w:p>
        </w:tc>
        <w:tc>
          <w:tcPr>
            <w:tcW w:w="2800" w:type="dxa"/>
            <w:shd w:val="clear" w:color="auto" w:fill="DBE5F1" w:themeFill="accent1" w:themeFillTint="33"/>
            <w:noWrap/>
          </w:tcPr>
          <w:p w14:paraId="7069CA0C"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r>
              <w:rPr>
                <w:rFonts w:asciiTheme="minorHAnsi" w:eastAsiaTheme="minorEastAsia" w:hAnsiTheme="minorHAnsi" w:cstheme="minorHAnsi"/>
                <w:color w:val="000000"/>
                <w:szCs w:val="22"/>
              </w:rPr>
              <w:t>Mão de obra permanente</w:t>
            </w:r>
          </w:p>
        </w:tc>
        <w:tc>
          <w:tcPr>
            <w:tcW w:w="840" w:type="dxa"/>
            <w:shd w:val="clear" w:color="auto" w:fill="DBE5F1" w:themeFill="accent1" w:themeFillTint="33"/>
            <w:noWrap/>
          </w:tcPr>
          <w:p w14:paraId="25791C0E"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r>
              <w:rPr>
                <w:rFonts w:asciiTheme="minorHAnsi" w:eastAsiaTheme="minorEastAsia" w:hAnsiTheme="minorHAnsi" w:cstheme="minorHAnsi"/>
                <w:color w:val="000000"/>
                <w:szCs w:val="22"/>
              </w:rPr>
              <w:t>MÊS</w:t>
            </w:r>
          </w:p>
        </w:tc>
        <w:tc>
          <w:tcPr>
            <w:tcW w:w="780" w:type="dxa"/>
            <w:shd w:val="clear" w:color="auto" w:fill="DBE5F1" w:themeFill="accent1" w:themeFillTint="33"/>
            <w:noWrap/>
          </w:tcPr>
          <w:p w14:paraId="32361BEE"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r>
              <w:rPr>
                <w:rFonts w:asciiTheme="minorHAnsi" w:eastAsiaTheme="minorEastAsia" w:hAnsiTheme="minorHAnsi" w:cstheme="minorHAnsi"/>
                <w:color w:val="000000"/>
                <w:szCs w:val="22"/>
              </w:rPr>
              <w:t>30</w:t>
            </w:r>
          </w:p>
        </w:tc>
        <w:tc>
          <w:tcPr>
            <w:tcW w:w="1720" w:type="dxa"/>
            <w:shd w:val="clear" w:color="auto" w:fill="DBE5F1" w:themeFill="accent1" w:themeFillTint="33"/>
            <w:noWrap/>
          </w:tcPr>
          <w:p w14:paraId="60DA40F1"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c>
          <w:tcPr>
            <w:tcW w:w="1540" w:type="dxa"/>
            <w:shd w:val="clear" w:color="auto" w:fill="DBE5F1" w:themeFill="accent1" w:themeFillTint="33"/>
            <w:noWrap/>
          </w:tcPr>
          <w:p w14:paraId="2FFA4255"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c>
          <w:tcPr>
            <w:tcW w:w="1720" w:type="dxa"/>
            <w:shd w:val="clear" w:color="auto" w:fill="DBE5F1" w:themeFill="accent1" w:themeFillTint="33"/>
            <w:noWrap/>
          </w:tcPr>
          <w:p w14:paraId="2ECF761F"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r>
      <w:tr w:rsidR="00404D08" w14:paraId="0FECB47A" w14:textId="77777777" w:rsidTr="00404D08">
        <w:trPr>
          <w:trHeight w:val="300"/>
        </w:trPr>
        <w:tc>
          <w:tcPr>
            <w:cnfStyle w:val="001000000000" w:firstRow="0" w:lastRow="0" w:firstColumn="1" w:lastColumn="0" w:oddVBand="0" w:evenVBand="0" w:oddHBand="0" w:evenHBand="0" w:firstRowFirstColumn="0" w:firstRowLastColumn="0" w:lastRowFirstColumn="0" w:lastRowLastColumn="0"/>
            <w:tcW w:w="560" w:type="dxa"/>
            <w:noWrap/>
          </w:tcPr>
          <w:p w14:paraId="7A482E27" w14:textId="77777777" w:rsidR="00404D08" w:rsidRDefault="00000000">
            <w:pPr>
              <w:suppressAutoHyphens w:val="0"/>
              <w:jc w:val="center"/>
              <w:rPr>
                <w:rFonts w:asciiTheme="minorHAnsi" w:eastAsiaTheme="minorEastAsia" w:hAnsiTheme="minorHAnsi" w:cstheme="minorHAnsi"/>
                <w:b w:val="0"/>
                <w:bCs w:val="0"/>
                <w:color w:val="000000"/>
                <w:szCs w:val="22"/>
              </w:rPr>
            </w:pPr>
            <w:r>
              <w:rPr>
                <w:rFonts w:asciiTheme="minorHAnsi" w:eastAsiaTheme="minorEastAsia" w:hAnsiTheme="minorHAnsi" w:cstheme="minorHAnsi"/>
                <w:color w:val="000000"/>
                <w:szCs w:val="22"/>
              </w:rPr>
              <w:t>3</w:t>
            </w:r>
          </w:p>
        </w:tc>
        <w:tc>
          <w:tcPr>
            <w:tcW w:w="2800" w:type="dxa"/>
          </w:tcPr>
          <w:p w14:paraId="3E1F9736"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r>
              <w:rPr>
                <w:rFonts w:asciiTheme="minorHAnsi" w:eastAsiaTheme="minorEastAsia" w:hAnsiTheme="minorHAnsi" w:cstheme="minorHAnsi"/>
                <w:color w:val="000000"/>
                <w:szCs w:val="22"/>
              </w:rPr>
              <w:t>Análise Química da Água</w:t>
            </w:r>
          </w:p>
        </w:tc>
        <w:tc>
          <w:tcPr>
            <w:tcW w:w="840" w:type="dxa"/>
            <w:noWrap/>
          </w:tcPr>
          <w:p w14:paraId="5CF8D4FF"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r>
              <w:rPr>
                <w:rFonts w:asciiTheme="minorHAnsi" w:eastAsiaTheme="minorEastAsia" w:hAnsiTheme="minorHAnsi" w:cstheme="minorHAnsi"/>
                <w:color w:val="000000"/>
                <w:szCs w:val="22"/>
              </w:rPr>
              <w:t>UNID</w:t>
            </w:r>
          </w:p>
        </w:tc>
        <w:tc>
          <w:tcPr>
            <w:tcW w:w="780" w:type="dxa"/>
            <w:noWrap/>
          </w:tcPr>
          <w:p w14:paraId="5110276F"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r>
              <w:rPr>
                <w:rFonts w:asciiTheme="minorHAnsi" w:eastAsiaTheme="minorEastAsia" w:hAnsiTheme="minorHAnsi" w:cstheme="minorHAnsi"/>
                <w:color w:val="000000"/>
                <w:szCs w:val="22"/>
              </w:rPr>
              <w:t>30</w:t>
            </w:r>
          </w:p>
        </w:tc>
        <w:tc>
          <w:tcPr>
            <w:tcW w:w="1720" w:type="dxa"/>
            <w:noWrap/>
          </w:tcPr>
          <w:p w14:paraId="73C59D45"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c>
          <w:tcPr>
            <w:tcW w:w="1540" w:type="dxa"/>
            <w:noWrap/>
          </w:tcPr>
          <w:p w14:paraId="7F2F58FF"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c>
          <w:tcPr>
            <w:tcW w:w="1720" w:type="dxa"/>
            <w:noWrap/>
          </w:tcPr>
          <w:p w14:paraId="5676356F"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r>
      <w:tr w:rsidR="00404D08" w14:paraId="04575B7F" w14:textId="77777777" w:rsidTr="00404D08">
        <w:trPr>
          <w:trHeight w:val="300"/>
        </w:trPr>
        <w:tc>
          <w:tcPr>
            <w:cnfStyle w:val="001000000000" w:firstRow="0" w:lastRow="0" w:firstColumn="1" w:lastColumn="0" w:oddVBand="0" w:evenVBand="0" w:oddHBand="0" w:evenHBand="0" w:firstRowFirstColumn="0" w:firstRowLastColumn="0" w:lastRowFirstColumn="0" w:lastRowLastColumn="0"/>
            <w:tcW w:w="560" w:type="dxa"/>
            <w:shd w:val="clear" w:color="auto" w:fill="DBE5F1" w:themeFill="accent1" w:themeFillTint="33"/>
            <w:noWrap/>
          </w:tcPr>
          <w:p w14:paraId="06D454EF" w14:textId="77777777" w:rsidR="00404D08" w:rsidRDefault="00000000">
            <w:pPr>
              <w:suppressAutoHyphens w:val="0"/>
              <w:jc w:val="center"/>
              <w:rPr>
                <w:rFonts w:asciiTheme="minorHAnsi" w:eastAsiaTheme="minorEastAsia" w:hAnsiTheme="minorHAnsi" w:cstheme="minorHAnsi"/>
                <w:b w:val="0"/>
                <w:bCs w:val="0"/>
                <w:color w:val="000000"/>
                <w:szCs w:val="22"/>
              </w:rPr>
            </w:pPr>
            <w:r>
              <w:rPr>
                <w:rFonts w:asciiTheme="minorHAnsi" w:eastAsiaTheme="minorEastAsia" w:hAnsiTheme="minorHAnsi" w:cstheme="minorHAnsi"/>
                <w:color w:val="000000"/>
                <w:szCs w:val="22"/>
              </w:rPr>
              <w:t>4</w:t>
            </w:r>
          </w:p>
        </w:tc>
        <w:tc>
          <w:tcPr>
            <w:tcW w:w="2800" w:type="dxa"/>
            <w:shd w:val="clear" w:color="auto" w:fill="DBE5F1" w:themeFill="accent1" w:themeFillTint="33"/>
          </w:tcPr>
          <w:p w14:paraId="1ACB1989"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r>
              <w:rPr>
                <w:rFonts w:asciiTheme="minorHAnsi" w:eastAsiaTheme="minorEastAsia" w:hAnsiTheme="minorHAnsi" w:cstheme="minorHAnsi"/>
                <w:color w:val="000000"/>
                <w:szCs w:val="22"/>
              </w:rPr>
              <w:t>Análise do Ar</w:t>
            </w:r>
          </w:p>
        </w:tc>
        <w:tc>
          <w:tcPr>
            <w:tcW w:w="840" w:type="dxa"/>
            <w:shd w:val="clear" w:color="auto" w:fill="DBE5F1" w:themeFill="accent1" w:themeFillTint="33"/>
            <w:noWrap/>
          </w:tcPr>
          <w:p w14:paraId="7C9F65E5"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r>
              <w:rPr>
                <w:rFonts w:asciiTheme="minorHAnsi" w:eastAsiaTheme="minorEastAsia" w:hAnsiTheme="minorHAnsi" w:cstheme="minorHAnsi"/>
                <w:color w:val="000000"/>
                <w:szCs w:val="22"/>
              </w:rPr>
              <w:t>UNID</w:t>
            </w:r>
          </w:p>
        </w:tc>
        <w:tc>
          <w:tcPr>
            <w:tcW w:w="780" w:type="dxa"/>
            <w:shd w:val="clear" w:color="auto" w:fill="DBE5F1" w:themeFill="accent1" w:themeFillTint="33"/>
            <w:noWrap/>
          </w:tcPr>
          <w:p w14:paraId="0A150D30"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r>
              <w:rPr>
                <w:rFonts w:asciiTheme="minorHAnsi" w:eastAsiaTheme="minorEastAsia" w:hAnsiTheme="minorHAnsi" w:cstheme="minorHAnsi"/>
                <w:color w:val="000000"/>
                <w:szCs w:val="22"/>
              </w:rPr>
              <w:t>30</w:t>
            </w:r>
          </w:p>
        </w:tc>
        <w:tc>
          <w:tcPr>
            <w:tcW w:w="1720" w:type="dxa"/>
            <w:shd w:val="clear" w:color="auto" w:fill="DBE5F1" w:themeFill="accent1" w:themeFillTint="33"/>
            <w:noWrap/>
          </w:tcPr>
          <w:p w14:paraId="64A79BD0"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c>
          <w:tcPr>
            <w:tcW w:w="1540" w:type="dxa"/>
            <w:shd w:val="clear" w:color="auto" w:fill="DBE5F1" w:themeFill="accent1" w:themeFillTint="33"/>
            <w:noWrap/>
          </w:tcPr>
          <w:p w14:paraId="0D116F4E"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c>
          <w:tcPr>
            <w:tcW w:w="1720" w:type="dxa"/>
            <w:shd w:val="clear" w:color="auto" w:fill="DBE5F1" w:themeFill="accent1" w:themeFillTint="33"/>
            <w:noWrap/>
          </w:tcPr>
          <w:p w14:paraId="70E7B6A9"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r>
      <w:tr w:rsidR="00404D08" w14:paraId="69A756A7" w14:textId="77777777" w:rsidTr="00404D08">
        <w:trPr>
          <w:trHeight w:val="900"/>
        </w:trPr>
        <w:tc>
          <w:tcPr>
            <w:cnfStyle w:val="001000000000" w:firstRow="0" w:lastRow="0" w:firstColumn="1" w:lastColumn="0" w:oddVBand="0" w:evenVBand="0" w:oddHBand="0" w:evenHBand="0" w:firstRowFirstColumn="0" w:firstRowLastColumn="0" w:lastRowFirstColumn="0" w:lastRowLastColumn="0"/>
            <w:tcW w:w="560" w:type="dxa"/>
            <w:noWrap/>
          </w:tcPr>
          <w:p w14:paraId="265DD268" w14:textId="77777777" w:rsidR="00404D08" w:rsidRDefault="00000000">
            <w:pPr>
              <w:suppressAutoHyphens w:val="0"/>
              <w:jc w:val="center"/>
              <w:rPr>
                <w:rFonts w:asciiTheme="minorHAnsi" w:eastAsiaTheme="minorEastAsia" w:hAnsiTheme="minorHAnsi" w:cstheme="minorHAnsi"/>
                <w:b w:val="0"/>
                <w:bCs w:val="0"/>
                <w:color w:val="000000"/>
                <w:szCs w:val="22"/>
              </w:rPr>
            </w:pPr>
            <w:r>
              <w:rPr>
                <w:rFonts w:asciiTheme="minorHAnsi" w:eastAsiaTheme="minorEastAsia" w:hAnsiTheme="minorHAnsi" w:cstheme="minorHAnsi"/>
                <w:color w:val="000000"/>
                <w:szCs w:val="22"/>
              </w:rPr>
              <w:t>5</w:t>
            </w:r>
          </w:p>
        </w:tc>
        <w:tc>
          <w:tcPr>
            <w:tcW w:w="2800" w:type="dxa"/>
          </w:tcPr>
          <w:p w14:paraId="785DAD41"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r>
              <w:rPr>
                <w:rFonts w:asciiTheme="minorHAnsi" w:eastAsiaTheme="minorEastAsia" w:hAnsiTheme="minorHAnsi" w:cstheme="minorHAnsi"/>
                <w:color w:val="000000"/>
                <w:szCs w:val="22"/>
              </w:rPr>
              <w:t>Serviços eventuais sem cessão de mão de obra dedicada</w:t>
            </w:r>
          </w:p>
        </w:tc>
        <w:tc>
          <w:tcPr>
            <w:tcW w:w="840" w:type="dxa"/>
            <w:noWrap/>
          </w:tcPr>
          <w:p w14:paraId="3CCC8FC6"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r>
              <w:rPr>
                <w:rFonts w:asciiTheme="minorHAnsi" w:eastAsiaTheme="minorEastAsia" w:hAnsiTheme="minorHAnsi" w:cstheme="minorHAnsi"/>
                <w:color w:val="000000"/>
                <w:szCs w:val="22"/>
              </w:rPr>
              <w:t>MÊS</w:t>
            </w:r>
          </w:p>
        </w:tc>
        <w:tc>
          <w:tcPr>
            <w:tcW w:w="780" w:type="dxa"/>
            <w:noWrap/>
          </w:tcPr>
          <w:p w14:paraId="0EB46DD5"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r>
              <w:rPr>
                <w:rFonts w:asciiTheme="minorHAnsi" w:eastAsiaTheme="minorEastAsia" w:hAnsiTheme="minorHAnsi" w:cstheme="minorHAnsi"/>
                <w:color w:val="000000"/>
                <w:szCs w:val="22"/>
              </w:rPr>
              <w:t>30</w:t>
            </w:r>
          </w:p>
        </w:tc>
        <w:tc>
          <w:tcPr>
            <w:tcW w:w="1720" w:type="dxa"/>
          </w:tcPr>
          <w:p w14:paraId="3AE6421F"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p>
        </w:tc>
        <w:tc>
          <w:tcPr>
            <w:tcW w:w="1540" w:type="dxa"/>
            <w:noWrap/>
          </w:tcPr>
          <w:p w14:paraId="2E836C84"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c>
          <w:tcPr>
            <w:tcW w:w="1720" w:type="dxa"/>
            <w:noWrap/>
          </w:tcPr>
          <w:p w14:paraId="02E6C1D9"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r>
      <w:tr w:rsidR="00404D08" w14:paraId="1A23AAE4" w14:textId="77777777" w:rsidTr="00404D08">
        <w:trPr>
          <w:trHeight w:val="600"/>
        </w:trPr>
        <w:tc>
          <w:tcPr>
            <w:cnfStyle w:val="001000000000" w:firstRow="0" w:lastRow="0" w:firstColumn="1" w:lastColumn="0" w:oddVBand="0" w:evenVBand="0" w:oddHBand="0" w:evenHBand="0" w:firstRowFirstColumn="0" w:firstRowLastColumn="0" w:lastRowFirstColumn="0" w:lastRowLastColumn="0"/>
            <w:tcW w:w="560" w:type="dxa"/>
            <w:shd w:val="clear" w:color="auto" w:fill="DBE5F1" w:themeFill="accent1" w:themeFillTint="33"/>
            <w:noWrap/>
          </w:tcPr>
          <w:p w14:paraId="53B4470B" w14:textId="77777777" w:rsidR="00404D08" w:rsidRDefault="00000000">
            <w:pPr>
              <w:suppressAutoHyphens w:val="0"/>
              <w:jc w:val="center"/>
              <w:rPr>
                <w:rFonts w:asciiTheme="minorHAnsi" w:eastAsiaTheme="minorEastAsia" w:hAnsiTheme="minorHAnsi" w:cstheme="minorHAnsi"/>
                <w:b w:val="0"/>
                <w:bCs w:val="0"/>
                <w:color w:val="000000"/>
                <w:szCs w:val="22"/>
              </w:rPr>
            </w:pPr>
            <w:r>
              <w:rPr>
                <w:rFonts w:asciiTheme="minorHAnsi" w:eastAsiaTheme="minorEastAsia" w:hAnsiTheme="minorHAnsi" w:cstheme="minorHAnsi"/>
                <w:color w:val="000000"/>
                <w:szCs w:val="22"/>
              </w:rPr>
              <w:t>6</w:t>
            </w:r>
          </w:p>
        </w:tc>
        <w:tc>
          <w:tcPr>
            <w:tcW w:w="2800" w:type="dxa"/>
            <w:shd w:val="clear" w:color="auto" w:fill="DBE5F1" w:themeFill="accent1" w:themeFillTint="33"/>
          </w:tcPr>
          <w:p w14:paraId="461663F0"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r>
              <w:rPr>
                <w:rFonts w:asciiTheme="minorHAnsi" w:eastAsiaTheme="minorEastAsia" w:hAnsiTheme="minorHAnsi" w:cstheme="minorHAnsi"/>
                <w:color w:val="000000"/>
                <w:szCs w:val="22"/>
              </w:rPr>
              <w:t>Peças para manutenção (30% mão de obra)</w:t>
            </w:r>
          </w:p>
        </w:tc>
        <w:tc>
          <w:tcPr>
            <w:tcW w:w="840" w:type="dxa"/>
            <w:shd w:val="clear" w:color="auto" w:fill="DBE5F1" w:themeFill="accent1" w:themeFillTint="33"/>
            <w:noWrap/>
          </w:tcPr>
          <w:p w14:paraId="6404BA17"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r>
              <w:rPr>
                <w:rFonts w:asciiTheme="minorHAnsi" w:eastAsiaTheme="minorEastAsia" w:hAnsiTheme="minorHAnsi" w:cstheme="minorHAnsi"/>
                <w:color w:val="000000"/>
                <w:szCs w:val="22"/>
              </w:rPr>
              <w:t>MÊS</w:t>
            </w:r>
          </w:p>
        </w:tc>
        <w:tc>
          <w:tcPr>
            <w:tcW w:w="780" w:type="dxa"/>
            <w:shd w:val="clear" w:color="auto" w:fill="DBE5F1" w:themeFill="accent1" w:themeFillTint="33"/>
            <w:noWrap/>
          </w:tcPr>
          <w:p w14:paraId="2463DE45" w14:textId="77777777" w:rsidR="00404D08" w:rsidRDefault="00000000">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r>
              <w:rPr>
                <w:rFonts w:asciiTheme="minorHAnsi" w:eastAsiaTheme="minorEastAsia" w:hAnsiTheme="minorHAnsi" w:cstheme="minorHAnsi"/>
                <w:color w:val="000000"/>
                <w:szCs w:val="22"/>
              </w:rPr>
              <w:t>30</w:t>
            </w:r>
          </w:p>
        </w:tc>
        <w:tc>
          <w:tcPr>
            <w:tcW w:w="1720" w:type="dxa"/>
            <w:shd w:val="clear" w:color="auto" w:fill="DBE5F1" w:themeFill="accent1" w:themeFillTint="33"/>
          </w:tcPr>
          <w:p w14:paraId="2652D5B5"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Cs w:val="22"/>
              </w:rPr>
            </w:pPr>
          </w:p>
        </w:tc>
        <w:tc>
          <w:tcPr>
            <w:tcW w:w="1540" w:type="dxa"/>
            <w:shd w:val="clear" w:color="auto" w:fill="DBE5F1" w:themeFill="accent1" w:themeFillTint="33"/>
            <w:noWrap/>
          </w:tcPr>
          <w:p w14:paraId="52DD5605"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c>
          <w:tcPr>
            <w:tcW w:w="1720" w:type="dxa"/>
            <w:shd w:val="clear" w:color="auto" w:fill="DBE5F1" w:themeFill="accent1" w:themeFillTint="33"/>
            <w:noWrap/>
          </w:tcPr>
          <w:p w14:paraId="1039F2C8" w14:textId="77777777" w:rsidR="00404D08" w:rsidRDefault="00404D08">
            <w:pPr>
              <w:suppressAutoHyphens w:val="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szCs w:val="22"/>
              </w:rPr>
            </w:pPr>
          </w:p>
        </w:tc>
      </w:tr>
      <w:tr w:rsidR="00404D08" w14:paraId="36514F91" w14:textId="77777777" w:rsidTr="00404D08">
        <w:trPr>
          <w:trHeight w:val="300"/>
        </w:trPr>
        <w:tc>
          <w:tcPr>
            <w:cnfStyle w:val="001000000000" w:firstRow="0" w:lastRow="0" w:firstColumn="1" w:lastColumn="0" w:oddVBand="0" w:evenVBand="0" w:oddHBand="0" w:evenHBand="0" w:firstRowFirstColumn="0" w:firstRowLastColumn="0" w:lastRowFirstColumn="0" w:lastRowLastColumn="0"/>
            <w:tcW w:w="4980" w:type="dxa"/>
            <w:gridSpan w:val="4"/>
          </w:tcPr>
          <w:p w14:paraId="655FA433" w14:textId="77777777" w:rsidR="00404D08" w:rsidRDefault="00000000">
            <w:pPr>
              <w:suppressAutoHyphens w:val="0"/>
              <w:jc w:val="center"/>
              <w:rPr>
                <w:rFonts w:asciiTheme="minorHAnsi" w:eastAsiaTheme="minorEastAsia" w:hAnsiTheme="minorHAnsi" w:cstheme="minorHAnsi"/>
                <w:b w:val="0"/>
                <w:bCs w:val="0"/>
                <w:color w:val="000000"/>
                <w:szCs w:val="22"/>
              </w:rPr>
            </w:pPr>
            <w:r>
              <w:rPr>
                <w:rFonts w:asciiTheme="minorHAnsi" w:eastAsiaTheme="minorEastAsia" w:hAnsiTheme="minorHAnsi" w:cstheme="minorHAnsi"/>
                <w:color w:val="000000"/>
                <w:szCs w:val="22"/>
              </w:rPr>
              <w:t xml:space="preserve">TOTAL GRUPO 1 </w:t>
            </w:r>
          </w:p>
        </w:tc>
        <w:tc>
          <w:tcPr>
            <w:tcW w:w="1720" w:type="dxa"/>
          </w:tcPr>
          <w:p w14:paraId="212B1B49" w14:textId="77777777" w:rsidR="00404D08" w:rsidRDefault="00404D08">
            <w:pPr>
              <w:suppressAutoHyphens w:val="0"/>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color w:val="FF0000"/>
                <w:szCs w:val="22"/>
              </w:rPr>
            </w:pPr>
          </w:p>
        </w:tc>
        <w:tc>
          <w:tcPr>
            <w:tcW w:w="1540" w:type="dxa"/>
          </w:tcPr>
          <w:p w14:paraId="0DC2826F" w14:textId="77777777" w:rsidR="00404D08" w:rsidRDefault="00404D08">
            <w:pPr>
              <w:suppressAutoHyphens w:val="0"/>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color w:val="FF0000"/>
                <w:szCs w:val="22"/>
              </w:rPr>
            </w:pPr>
          </w:p>
        </w:tc>
        <w:tc>
          <w:tcPr>
            <w:tcW w:w="1720" w:type="dxa"/>
          </w:tcPr>
          <w:p w14:paraId="7A1297AA" w14:textId="77777777" w:rsidR="00404D08" w:rsidRDefault="00404D08">
            <w:pPr>
              <w:suppressAutoHyphens w:val="0"/>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bCs/>
                <w:color w:val="FF0000"/>
                <w:szCs w:val="22"/>
              </w:rPr>
            </w:pPr>
          </w:p>
        </w:tc>
      </w:tr>
    </w:tbl>
    <w:p w14:paraId="68663C6C" w14:textId="77777777" w:rsidR="00404D08" w:rsidRDefault="00000000">
      <w:pPr>
        <w:pStyle w:val="Nivel2"/>
        <w:numPr>
          <w:ilvl w:val="1"/>
          <w:numId w:val="8"/>
        </w:numPr>
        <w:spacing w:afterLines="120" w:after="288"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Vinculam esta contratação, independentemente de transcrição:</w:t>
      </w:r>
    </w:p>
    <w:p w14:paraId="3528F7C4" w14:textId="77777777" w:rsidR="00404D08" w:rsidRDefault="00000000">
      <w:pPr>
        <w:pStyle w:val="Nivel3"/>
        <w:numPr>
          <w:ilvl w:val="2"/>
          <w:numId w:val="8"/>
        </w:numPr>
        <w:spacing w:afterLines="120" w:after="288"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O Termo de Referência;</w:t>
      </w:r>
    </w:p>
    <w:p w14:paraId="7FB5EFB1" w14:textId="77777777" w:rsidR="00404D08" w:rsidRDefault="00000000">
      <w:pPr>
        <w:pStyle w:val="Nivel3"/>
        <w:numPr>
          <w:ilvl w:val="2"/>
          <w:numId w:val="8"/>
        </w:numPr>
        <w:spacing w:afterLines="120" w:after="288"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O Edital da Licitação;</w:t>
      </w:r>
    </w:p>
    <w:p w14:paraId="01B9632C" w14:textId="77777777" w:rsidR="00404D08" w:rsidRDefault="00000000">
      <w:pPr>
        <w:pStyle w:val="Nivel3"/>
        <w:numPr>
          <w:ilvl w:val="2"/>
          <w:numId w:val="8"/>
        </w:numPr>
        <w:spacing w:afterLines="120" w:after="288"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A Proposta do contratado;</w:t>
      </w:r>
    </w:p>
    <w:p w14:paraId="401E4ADA" w14:textId="77777777" w:rsidR="00404D08" w:rsidRDefault="00000000">
      <w:pPr>
        <w:pStyle w:val="Nivel3"/>
        <w:numPr>
          <w:ilvl w:val="2"/>
          <w:numId w:val="8"/>
        </w:numPr>
        <w:spacing w:afterLines="120" w:after="288"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Eventuais anexos dos documentos supracitados.</w:t>
      </w:r>
    </w:p>
    <w:p w14:paraId="652A6C0E" w14:textId="77777777" w:rsidR="00404D08" w:rsidRDefault="00000000">
      <w:pPr>
        <w:pStyle w:val="Nivel3"/>
        <w:numPr>
          <w:ilvl w:val="0"/>
          <w:numId w:val="8"/>
        </w:numPr>
        <w:spacing w:afterLines="120" w:after="288" w:line="312" w:lineRule="auto"/>
        <w:rPr>
          <w:rFonts w:asciiTheme="minorHAnsi" w:hAnsiTheme="minorHAnsi" w:cstheme="minorHAnsi"/>
          <w:b/>
          <w:bCs/>
          <w:sz w:val="22"/>
          <w:szCs w:val="22"/>
          <w:lang w:val="zh-CN"/>
        </w:rPr>
      </w:pPr>
      <w:r>
        <w:rPr>
          <w:rFonts w:asciiTheme="minorHAnsi" w:hAnsiTheme="minorHAnsi" w:cstheme="minorHAnsi"/>
          <w:b/>
          <w:bCs/>
          <w:sz w:val="22"/>
          <w:szCs w:val="22"/>
        </w:rPr>
        <w:t>CLÁUSULA SEGUNDA – VIGÊNCIA E PRORROGAÇÃO</w:t>
      </w:r>
    </w:p>
    <w:p w14:paraId="27804448" w14:textId="77777777" w:rsidR="00404D08" w:rsidRDefault="00000000">
      <w:pPr>
        <w:pStyle w:val="Nivel2"/>
        <w:numPr>
          <w:ilvl w:val="1"/>
          <w:numId w:val="8"/>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O prazo de vigência da contratação é de 30 meses contados da assinatura das partes, prorrogável sucessivamente por até 10 anos, na forma dos </w:t>
      </w:r>
      <w:hyperlink r:id="rId11" w:anchor="art106" w:history="1">
        <w:r>
          <w:rPr>
            <w:rStyle w:val="Hyperlink"/>
            <w:rFonts w:asciiTheme="minorHAnsi" w:hAnsiTheme="minorHAnsi" w:cstheme="minorHAnsi"/>
            <w:sz w:val="22"/>
            <w:szCs w:val="22"/>
          </w:rPr>
          <w:t>artigos 106 e 107 da Lei n° 14.133, de 2021.</w:t>
        </w:r>
      </w:hyperlink>
    </w:p>
    <w:p w14:paraId="7EC846E8" w14:textId="77777777" w:rsidR="00404D08" w:rsidRDefault="00000000">
      <w:pPr>
        <w:pStyle w:val="Nivel2"/>
        <w:numPr>
          <w:ilvl w:val="1"/>
          <w:numId w:val="8"/>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lastRenderedPageBreak/>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645540CB" w14:textId="77777777" w:rsidR="00404D08" w:rsidRDefault="00000000">
      <w:pPr>
        <w:pStyle w:val="Nivel2"/>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Estar formalmente demonstrado no processo que a forma de prestação dos serviços tem natureza continuada;</w:t>
      </w:r>
    </w:p>
    <w:p w14:paraId="35A3982B" w14:textId="77777777" w:rsidR="00404D08" w:rsidRDefault="00000000">
      <w:pPr>
        <w:pStyle w:val="Nivel2"/>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 xml:space="preserve">Seja juntado relatório que discorra sobre a execução do contrato, com informações de que os serviços tenham sido prestados regularmente;  </w:t>
      </w:r>
    </w:p>
    <w:p w14:paraId="60117D17" w14:textId="77777777" w:rsidR="00404D08" w:rsidRDefault="00000000">
      <w:pPr>
        <w:pStyle w:val="Nivel2"/>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 xml:space="preserve">Seja juntada justificativa e motivo, por escrito, de que a Administração mantém interesse na realização do serviço;  </w:t>
      </w:r>
    </w:p>
    <w:p w14:paraId="19F8C289" w14:textId="77777777" w:rsidR="00404D08" w:rsidRDefault="00000000">
      <w:pPr>
        <w:pStyle w:val="Nivel2"/>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 xml:space="preserve">Haja manifestação expressa do contratado informando o interesse na prorrogação; </w:t>
      </w:r>
    </w:p>
    <w:p w14:paraId="774BB9D0" w14:textId="77777777" w:rsidR="00404D08" w:rsidRDefault="00000000">
      <w:pPr>
        <w:pStyle w:val="Nivel2"/>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Seja comprovado que o contratado mantém as condições iniciais de habilitação.</w:t>
      </w:r>
    </w:p>
    <w:p w14:paraId="2F245BAC" w14:textId="77777777" w:rsidR="00404D08" w:rsidRDefault="00000000">
      <w:pPr>
        <w:pStyle w:val="Nivel2"/>
        <w:numPr>
          <w:ilvl w:val="1"/>
          <w:numId w:val="8"/>
        </w:numPr>
        <w:ind w:left="567" w:hanging="567"/>
        <w:rPr>
          <w:rFonts w:asciiTheme="minorHAnsi" w:hAnsiTheme="minorHAnsi" w:cstheme="minorHAnsi"/>
          <w:sz w:val="22"/>
          <w:szCs w:val="22"/>
        </w:rPr>
      </w:pPr>
      <w:r>
        <w:rPr>
          <w:rFonts w:asciiTheme="minorHAnsi" w:hAnsiTheme="minorHAnsi" w:cstheme="minorHAnsi"/>
          <w:sz w:val="22"/>
          <w:szCs w:val="22"/>
        </w:rPr>
        <w:t>O contratado não tem direito subjetivo à prorrogação contratual.</w:t>
      </w:r>
    </w:p>
    <w:p w14:paraId="20DD99BF" w14:textId="77777777" w:rsidR="00404D08" w:rsidRDefault="00000000">
      <w:pPr>
        <w:pStyle w:val="Nivel2"/>
        <w:numPr>
          <w:ilvl w:val="1"/>
          <w:numId w:val="8"/>
        </w:numPr>
        <w:ind w:left="567" w:hanging="567"/>
        <w:rPr>
          <w:rFonts w:asciiTheme="minorHAnsi" w:hAnsiTheme="minorHAnsi" w:cstheme="minorHAnsi"/>
          <w:sz w:val="22"/>
          <w:szCs w:val="22"/>
        </w:rPr>
      </w:pPr>
      <w:r>
        <w:rPr>
          <w:rFonts w:asciiTheme="minorHAnsi" w:hAnsiTheme="minorHAnsi" w:cstheme="minorHAnsi"/>
          <w:sz w:val="22"/>
          <w:szCs w:val="22"/>
        </w:rPr>
        <w:t xml:space="preserve">A prorrogação de contrato deverá ser promovida mediante celebração de termo aditivo. </w:t>
      </w:r>
    </w:p>
    <w:p w14:paraId="705FFA11" w14:textId="77777777" w:rsidR="00404D08" w:rsidRDefault="00000000">
      <w:pPr>
        <w:pStyle w:val="Nivel2"/>
        <w:numPr>
          <w:ilvl w:val="1"/>
          <w:numId w:val="8"/>
        </w:numPr>
        <w:ind w:left="567" w:hanging="567"/>
        <w:rPr>
          <w:rFonts w:asciiTheme="minorHAnsi" w:hAnsiTheme="minorHAnsi" w:cstheme="minorHAnsi"/>
          <w:sz w:val="22"/>
          <w:szCs w:val="22"/>
        </w:rPr>
      </w:pPr>
      <w:r>
        <w:rPr>
          <w:rFonts w:asciiTheme="minorHAnsi" w:hAnsiTheme="minorHAnsi" w:cstheme="minorHAnsi"/>
          <w:sz w:val="22"/>
          <w:szCs w:val="22"/>
        </w:rPr>
        <w:t>Nas eventuais prorrogações contratuais, os custos não renováveis já pagos ou amortizados ao longo do primeiro período de vigência da contratação deverão ser reduzidos ou eliminados como condição para a renovação.</w:t>
      </w:r>
    </w:p>
    <w:p w14:paraId="2D095B88" w14:textId="77777777" w:rsidR="00404D08" w:rsidRDefault="00000000">
      <w:pPr>
        <w:pStyle w:val="Nivel2"/>
        <w:numPr>
          <w:ilvl w:val="1"/>
          <w:numId w:val="8"/>
        </w:numPr>
        <w:ind w:left="567" w:hanging="567"/>
        <w:rPr>
          <w:rFonts w:asciiTheme="minorHAnsi" w:hAnsiTheme="minorHAnsi" w:cstheme="minorHAnsi"/>
          <w:sz w:val="22"/>
          <w:szCs w:val="22"/>
        </w:rPr>
      </w:pPr>
      <w:r>
        <w:rPr>
          <w:rFonts w:asciiTheme="minorHAnsi" w:hAnsiTheme="minorHAnsi" w:cstheme="minorHAnsi"/>
          <w:sz w:val="22"/>
          <w:szCs w:val="22"/>
        </w:rPr>
        <w:t>O contrato não poderá ser prorrogado quando o contratado tiver sido penalizado nas sanções de declaração de inidoneidade ou impedimento de licitar e contratar com poder público, observadas as abrangências de aplicação.</w:t>
      </w:r>
      <w:bookmarkStart w:id="0" w:name="_Hlk114497577"/>
      <w:bookmarkStart w:id="1" w:name="_Hlk114497502"/>
      <w:bookmarkEnd w:id="0"/>
      <w:bookmarkEnd w:id="1"/>
    </w:p>
    <w:p w14:paraId="5B0945E6" w14:textId="77777777" w:rsidR="00404D08" w:rsidRDefault="00404D08">
      <w:pPr>
        <w:pStyle w:val="Nivel2"/>
        <w:numPr>
          <w:ilvl w:val="0"/>
          <w:numId w:val="0"/>
        </w:numPr>
        <w:ind w:left="567"/>
        <w:rPr>
          <w:rFonts w:asciiTheme="minorHAnsi" w:hAnsiTheme="minorHAnsi" w:cstheme="minorHAnsi"/>
          <w:sz w:val="22"/>
          <w:szCs w:val="22"/>
        </w:rPr>
      </w:pPr>
    </w:p>
    <w:p w14:paraId="0DCB6C10" w14:textId="77777777" w:rsidR="00404D08" w:rsidRDefault="00000000">
      <w:pPr>
        <w:pStyle w:val="Nivel2"/>
        <w:numPr>
          <w:ilvl w:val="0"/>
          <w:numId w:val="8"/>
        </w:numPr>
        <w:rPr>
          <w:rFonts w:asciiTheme="minorHAnsi" w:hAnsiTheme="minorHAnsi" w:cstheme="minorHAnsi"/>
          <w:b/>
          <w:bCs/>
          <w:sz w:val="22"/>
          <w:szCs w:val="22"/>
        </w:rPr>
      </w:pPr>
      <w:r>
        <w:rPr>
          <w:rFonts w:asciiTheme="minorHAnsi" w:hAnsiTheme="minorHAnsi" w:cstheme="minorHAnsi"/>
          <w:b/>
          <w:bCs/>
          <w:sz w:val="22"/>
          <w:szCs w:val="22"/>
        </w:rPr>
        <w:t>CLÁUSULA TERCEIRA – MODELOS DE EXECUÇÃO E GESTÃO CONTRATUAIS (</w:t>
      </w:r>
      <w:hyperlink r:id="rId12" w:anchor="art92" w:history="1">
        <w:r>
          <w:rPr>
            <w:rStyle w:val="Hyperlink"/>
            <w:rFonts w:asciiTheme="minorHAnsi" w:hAnsiTheme="minorHAnsi" w:cstheme="minorHAnsi"/>
            <w:b/>
            <w:bCs/>
            <w:sz w:val="22"/>
            <w:szCs w:val="22"/>
          </w:rPr>
          <w:t>art. 92, IV, VII e XVIII)</w:t>
        </w:r>
      </w:hyperlink>
    </w:p>
    <w:p w14:paraId="4FFD5DAE" w14:textId="77777777" w:rsidR="00404D08" w:rsidRDefault="00000000">
      <w:pPr>
        <w:pStyle w:val="Nivel2"/>
        <w:numPr>
          <w:ilvl w:val="1"/>
          <w:numId w:val="10"/>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O regime de execução contratual, os modelos de gestão e de execução, assim como os prazos e condições de conclusão, entrega, observação e recebimento do objeto constam no Termo de Referência, anexo a este Contrato.</w:t>
      </w:r>
    </w:p>
    <w:p w14:paraId="45FFBB12" w14:textId="77777777" w:rsidR="00404D08" w:rsidRDefault="00000000">
      <w:pPr>
        <w:pStyle w:val="Nivel2"/>
        <w:numPr>
          <w:ilvl w:val="0"/>
          <w:numId w:val="10"/>
        </w:numPr>
        <w:spacing w:afterLines="120" w:after="288" w:line="312" w:lineRule="auto"/>
        <w:rPr>
          <w:rFonts w:asciiTheme="minorHAnsi" w:hAnsiTheme="minorHAnsi" w:cstheme="minorHAnsi"/>
          <w:b/>
          <w:bCs/>
          <w:sz w:val="22"/>
          <w:szCs w:val="22"/>
        </w:rPr>
      </w:pPr>
      <w:r>
        <w:rPr>
          <w:rFonts w:asciiTheme="minorHAnsi" w:hAnsiTheme="minorHAnsi" w:cstheme="minorHAnsi"/>
          <w:b/>
          <w:bCs/>
          <w:sz w:val="22"/>
          <w:szCs w:val="22"/>
        </w:rPr>
        <w:t>CLÁUSULA QUARTA – SUBCONTRATAÇÃO</w:t>
      </w:r>
    </w:p>
    <w:p w14:paraId="7EB879BA" w14:textId="77777777" w:rsidR="00404D08" w:rsidRDefault="00000000">
      <w:pPr>
        <w:pStyle w:val="textojustificado"/>
        <w:numPr>
          <w:ilvl w:val="1"/>
          <w:numId w:val="10"/>
        </w:numPr>
        <w:spacing w:before="120" w:beforeAutospacing="0" w:after="120" w:afterAutospacing="0"/>
        <w:ind w:left="426" w:right="120"/>
        <w:jc w:val="both"/>
        <w:rPr>
          <w:rFonts w:ascii="Calibri" w:hAnsi="Calibri" w:cs="Calibri"/>
          <w:color w:val="000000"/>
          <w:sz w:val="22"/>
          <w:szCs w:val="22"/>
        </w:rPr>
      </w:pPr>
      <w:r>
        <w:rPr>
          <w:rFonts w:ascii="Calibri" w:hAnsi="Calibri" w:cs="Calibri"/>
          <w:color w:val="000000"/>
          <w:sz w:val="22"/>
          <w:szCs w:val="22"/>
        </w:rPr>
        <w:t>É permitida a subcontratação parcial do objeto, até o limite de 20% (vinte por cento) do valor total do contrato, nas seguintes condições: </w:t>
      </w:r>
    </w:p>
    <w:p w14:paraId="0622CCC2" w14:textId="77777777" w:rsidR="00404D08" w:rsidRDefault="00000000">
      <w:pPr>
        <w:pStyle w:val="textojustificado"/>
        <w:numPr>
          <w:ilvl w:val="1"/>
          <w:numId w:val="10"/>
        </w:numPr>
        <w:spacing w:before="120" w:beforeAutospacing="0" w:after="120" w:afterAutospacing="0"/>
        <w:ind w:left="426" w:right="120"/>
        <w:jc w:val="both"/>
        <w:rPr>
          <w:rFonts w:ascii="Calibri" w:hAnsi="Calibri" w:cs="Calibri"/>
          <w:color w:val="000000"/>
          <w:sz w:val="22"/>
          <w:szCs w:val="22"/>
        </w:rPr>
      </w:pPr>
      <w:r>
        <w:rPr>
          <w:rFonts w:ascii="Calibri" w:hAnsi="Calibri" w:cs="Calibri"/>
          <w:color w:val="000000"/>
          <w:sz w:val="22"/>
          <w:szCs w:val="22"/>
        </w:rPr>
        <w:t>É vedada a subcontratação completa ou da parcela principal da obrigação.</w:t>
      </w:r>
    </w:p>
    <w:p w14:paraId="0015EF72" w14:textId="77777777" w:rsidR="00404D08" w:rsidRDefault="00000000">
      <w:pPr>
        <w:pStyle w:val="textojustificado"/>
        <w:numPr>
          <w:ilvl w:val="1"/>
          <w:numId w:val="10"/>
        </w:numPr>
        <w:spacing w:before="120" w:beforeAutospacing="0" w:after="120" w:afterAutospacing="0"/>
        <w:ind w:left="426" w:right="120"/>
        <w:jc w:val="both"/>
        <w:rPr>
          <w:rFonts w:ascii="Calibri" w:hAnsi="Calibri" w:cs="Calibri"/>
          <w:color w:val="000000"/>
          <w:sz w:val="22"/>
          <w:szCs w:val="22"/>
        </w:rPr>
      </w:pPr>
      <w:r>
        <w:rPr>
          <w:rFonts w:ascii="Calibri" w:hAnsi="Calibri" w:cs="Calibri"/>
          <w:color w:val="000000"/>
          <w:sz w:val="22"/>
          <w:szCs w:val="22"/>
        </w:rPr>
        <w:t>Poderão ser subcontratadas as seguintes parcelas do objeto:</w:t>
      </w:r>
    </w:p>
    <w:p w14:paraId="648F8808" w14:textId="77777777" w:rsidR="00404D08" w:rsidRDefault="00000000">
      <w:pPr>
        <w:pStyle w:val="textojustificado"/>
        <w:numPr>
          <w:ilvl w:val="2"/>
          <w:numId w:val="11"/>
        </w:numPr>
        <w:spacing w:before="120" w:beforeAutospacing="0" w:after="120" w:afterAutospacing="0"/>
        <w:ind w:right="120"/>
        <w:jc w:val="both"/>
        <w:rPr>
          <w:rFonts w:ascii="Calibri" w:hAnsi="Calibri" w:cs="Calibri"/>
          <w:color w:val="000000"/>
          <w:sz w:val="22"/>
          <w:szCs w:val="22"/>
        </w:rPr>
      </w:pPr>
      <w:r>
        <w:rPr>
          <w:rFonts w:ascii="Calibri" w:hAnsi="Calibri" w:cs="Calibri"/>
          <w:color w:val="000000"/>
          <w:sz w:val="22"/>
          <w:szCs w:val="22"/>
        </w:rPr>
        <w:t>Rebobinamento de motores elétricos;</w:t>
      </w:r>
    </w:p>
    <w:p w14:paraId="71628DC5" w14:textId="77777777" w:rsidR="00404D08" w:rsidRDefault="00000000">
      <w:pPr>
        <w:pStyle w:val="textojustificado"/>
        <w:numPr>
          <w:ilvl w:val="2"/>
          <w:numId w:val="11"/>
        </w:numPr>
        <w:spacing w:before="120" w:beforeAutospacing="0" w:after="120" w:afterAutospacing="0"/>
        <w:ind w:right="120"/>
        <w:jc w:val="both"/>
        <w:rPr>
          <w:rFonts w:ascii="Calibri" w:hAnsi="Calibri" w:cs="Calibri"/>
          <w:color w:val="000000"/>
          <w:sz w:val="22"/>
          <w:szCs w:val="22"/>
        </w:rPr>
      </w:pPr>
      <w:r>
        <w:rPr>
          <w:rFonts w:ascii="Calibri" w:hAnsi="Calibri" w:cs="Calibri"/>
          <w:color w:val="000000"/>
          <w:sz w:val="22"/>
          <w:szCs w:val="22"/>
        </w:rPr>
        <w:t>Serviço de torneiro mecânico;</w:t>
      </w:r>
    </w:p>
    <w:p w14:paraId="6CE5B780" w14:textId="77777777" w:rsidR="00404D08" w:rsidRDefault="00000000">
      <w:pPr>
        <w:pStyle w:val="textojustificado"/>
        <w:numPr>
          <w:ilvl w:val="2"/>
          <w:numId w:val="11"/>
        </w:numPr>
        <w:spacing w:before="120" w:beforeAutospacing="0" w:after="120" w:afterAutospacing="0"/>
        <w:ind w:right="120"/>
        <w:jc w:val="both"/>
        <w:rPr>
          <w:rFonts w:ascii="Calibri" w:hAnsi="Calibri" w:cs="Calibri"/>
          <w:color w:val="000000"/>
          <w:sz w:val="22"/>
          <w:szCs w:val="22"/>
        </w:rPr>
      </w:pPr>
      <w:r>
        <w:rPr>
          <w:rFonts w:ascii="Calibri" w:hAnsi="Calibri" w:cs="Calibri"/>
          <w:color w:val="000000"/>
          <w:sz w:val="22"/>
          <w:szCs w:val="22"/>
        </w:rPr>
        <w:t>Análise da qualidade do ar e água;</w:t>
      </w:r>
    </w:p>
    <w:p w14:paraId="43BD89EF" w14:textId="77777777" w:rsidR="00404D08" w:rsidRDefault="00000000">
      <w:pPr>
        <w:pStyle w:val="textojustificado"/>
        <w:numPr>
          <w:ilvl w:val="2"/>
          <w:numId w:val="11"/>
        </w:numPr>
        <w:spacing w:before="120" w:beforeAutospacing="0" w:after="120" w:afterAutospacing="0"/>
        <w:ind w:right="120"/>
        <w:jc w:val="both"/>
        <w:rPr>
          <w:rFonts w:ascii="Calibri" w:hAnsi="Calibri" w:cs="Calibri"/>
          <w:color w:val="000000"/>
          <w:sz w:val="22"/>
          <w:szCs w:val="22"/>
        </w:rPr>
      </w:pPr>
      <w:r>
        <w:rPr>
          <w:rFonts w:ascii="Calibri" w:hAnsi="Calibri" w:cs="Calibri"/>
          <w:color w:val="000000"/>
          <w:sz w:val="22"/>
          <w:szCs w:val="22"/>
        </w:rPr>
        <w:t>Execução de “serviços eventuais”, sem que haja qualquer aceitação de transferência de responsabilidade;</w:t>
      </w:r>
    </w:p>
    <w:p w14:paraId="596166F8" w14:textId="77777777" w:rsidR="00404D08" w:rsidRDefault="00000000">
      <w:pPr>
        <w:pStyle w:val="textojustificado"/>
        <w:numPr>
          <w:ilvl w:val="1"/>
          <w:numId w:val="11"/>
        </w:numPr>
        <w:spacing w:before="120" w:beforeAutospacing="0" w:after="120" w:afterAutospacing="0"/>
        <w:ind w:left="426" w:right="120"/>
        <w:jc w:val="both"/>
        <w:rPr>
          <w:rFonts w:ascii="Calibri" w:hAnsi="Calibri" w:cs="Calibri"/>
          <w:color w:val="000000"/>
          <w:sz w:val="22"/>
          <w:szCs w:val="22"/>
        </w:rPr>
      </w:pPr>
      <w:r>
        <w:rPr>
          <w:rFonts w:ascii="Calibri" w:hAnsi="Calibri" w:cs="Calibri"/>
          <w:color w:val="000000"/>
          <w:sz w:val="22"/>
          <w:szCs w:val="22"/>
        </w:rPr>
        <w:lastRenderedPageBreak/>
        <w:t>Submeter à aprovação do Gestor do Contrato qualquer subcontratação dos serviços.</w:t>
      </w:r>
    </w:p>
    <w:p w14:paraId="08B82D6F" w14:textId="77777777" w:rsidR="00404D08" w:rsidRDefault="00000000">
      <w:pPr>
        <w:pStyle w:val="textojustificado"/>
        <w:numPr>
          <w:ilvl w:val="1"/>
          <w:numId w:val="11"/>
        </w:numPr>
        <w:spacing w:before="120" w:beforeAutospacing="0" w:after="120" w:afterAutospacing="0"/>
        <w:ind w:left="426" w:right="120"/>
        <w:jc w:val="both"/>
        <w:rPr>
          <w:rFonts w:ascii="Calibri" w:hAnsi="Calibri" w:cs="Calibri"/>
          <w:color w:val="000000"/>
          <w:sz w:val="22"/>
          <w:szCs w:val="22"/>
        </w:rPr>
      </w:pPr>
      <w:r>
        <w:rPr>
          <w:rFonts w:ascii="Calibri" w:hAnsi="Calibri" w:cs="Calibri"/>
          <w:color w:val="000000"/>
          <w:sz w:val="22"/>
          <w:szCs w:val="22"/>
        </w:rPr>
        <w:t>Quando for o caso, as empresas ou profissionais subcontratados deverão estar devidamente registrados no Conselho Regional de Engenharia e Agronomia (CREA) competente, com responsável técnico capacitado a executar os seus serviços.</w:t>
      </w:r>
    </w:p>
    <w:p w14:paraId="1CB3C009" w14:textId="77777777" w:rsidR="00404D08" w:rsidRDefault="00000000">
      <w:pPr>
        <w:pStyle w:val="textojustificado"/>
        <w:numPr>
          <w:ilvl w:val="1"/>
          <w:numId w:val="11"/>
        </w:numPr>
        <w:spacing w:before="120" w:beforeAutospacing="0" w:after="120" w:afterAutospacing="0"/>
        <w:ind w:left="426" w:right="120"/>
        <w:jc w:val="both"/>
        <w:rPr>
          <w:rFonts w:ascii="Calibri" w:hAnsi="Calibri" w:cs="Calibri"/>
          <w:color w:val="000000"/>
          <w:sz w:val="22"/>
          <w:szCs w:val="22"/>
        </w:rPr>
      </w:pPr>
      <w:r>
        <w:rPr>
          <w:rFonts w:ascii="Calibri" w:hAnsi="Calibri" w:cs="Calibri"/>
          <w:color w:val="000000"/>
          <w:sz w:val="22"/>
          <w:szCs w:val="22"/>
        </w:rPr>
        <w:t>A CONTRATADA deve submeter à prévia aprovação, com antecedência mínima de cinco dias do início do serviço a executar, a indicação da empresa que pretende subcontratar, acompanhada das respectivas comprovações de regularidade fiscal e qualificação técnica, acompanhadas das Anotações de Responsabilidade Técnica (ARTs) e Certidões de Registro no Conselho Regional de Engenharia e Agronomia (CREA) competente, quando for o caso.</w:t>
      </w:r>
    </w:p>
    <w:p w14:paraId="36DAE267" w14:textId="77777777" w:rsidR="00404D08" w:rsidRDefault="00000000">
      <w:pPr>
        <w:pStyle w:val="textojustificado"/>
        <w:numPr>
          <w:ilvl w:val="1"/>
          <w:numId w:val="11"/>
        </w:numPr>
        <w:spacing w:before="120" w:beforeAutospacing="0" w:after="120" w:afterAutospacing="0"/>
        <w:ind w:left="426" w:right="120"/>
        <w:jc w:val="both"/>
        <w:rPr>
          <w:rFonts w:ascii="Calibri" w:hAnsi="Calibri" w:cs="Calibri"/>
          <w:color w:val="000000"/>
          <w:sz w:val="22"/>
          <w:szCs w:val="22"/>
        </w:rPr>
      </w:pPr>
      <w:r>
        <w:rPr>
          <w:rFonts w:ascii="Calibri" w:hAnsi="Calibri" w:cs="Calibri"/>
          <w:color w:val="000000"/>
          <w:sz w:val="22"/>
          <w:szCs w:val="22"/>
        </w:rPr>
        <w:t>Os serviços especializados a cargo de diferentes firmas subcontratadas serão coordenados pela CONTRATADA de modo a proporcionar a compatibilidade dos serviços, em seu conjunto, permanecendo sob sua inteira responsabilidade o cumprimento das obrigações contratuais.</w:t>
      </w:r>
    </w:p>
    <w:p w14:paraId="062C47B0" w14:textId="77777777" w:rsidR="00404D08" w:rsidRDefault="00000000">
      <w:pPr>
        <w:pStyle w:val="textojustificado"/>
        <w:numPr>
          <w:ilvl w:val="1"/>
          <w:numId w:val="11"/>
        </w:numPr>
        <w:spacing w:before="120" w:beforeAutospacing="0" w:after="120" w:afterAutospacing="0"/>
        <w:ind w:left="426" w:right="120"/>
        <w:jc w:val="both"/>
        <w:rPr>
          <w:rFonts w:ascii="Calibri" w:hAnsi="Calibri" w:cs="Calibri"/>
          <w:color w:val="000000"/>
          <w:sz w:val="22"/>
          <w:szCs w:val="22"/>
        </w:rPr>
      </w:pPr>
      <w:r>
        <w:rPr>
          <w:rFonts w:ascii="Calibri" w:hAnsi="Calibri" w:cs="Calibri"/>
          <w:color w:val="000000"/>
          <w:sz w:val="22"/>
          <w:szCs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 </w:t>
      </w:r>
    </w:p>
    <w:p w14:paraId="6BC6DC3D" w14:textId="77777777" w:rsidR="00404D08" w:rsidRDefault="00000000">
      <w:pPr>
        <w:pStyle w:val="textojustificado"/>
        <w:numPr>
          <w:ilvl w:val="1"/>
          <w:numId w:val="11"/>
        </w:numPr>
        <w:spacing w:before="120" w:beforeAutospacing="0" w:after="120" w:afterAutospacing="0"/>
        <w:ind w:left="426" w:right="120"/>
        <w:jc w:val="both"/>
        <w:rPr>
          <w:rFonts w:ascii="Calibri" w:hAnsi="Calibri" w:cs="Calibri"/>
          <w:color w:val="000000"/>
          <w:sz w:val="22"/>
          <w:szCs w:val="22"/>
        </w:rPr>
      </w:pPr>
      <w:r>
        <w:rPr>
          <w:rFonts w:ascii="Calibri" w:hAnsi="Calibri" w:cs="Calibri"/>
          <w:color w:val="000000"/>
          <w:sz w:val="22"/>
          <w:szCs w:val="22"/>
        </w:rPr>
        <w:t>A subcontratação depende de autorização prévia do contratante, a quem incumbe avaliar se o subcontratado cumpre os requisitos de qualificação técnica necessários para a execução do objeto.</w:t>
      </w:r>
    </w:p>
    <w:p w14:paraId="46FBFDEE" w14:textId="77777777" w:rsidR="00404D08" w:rsidRDefault="00000000">
      <w:pPr>
        <w:pStyle w:val="textojustificado"/>
        <w:numPr>
          <w:ilvl w:val="1"/>
          <w:numId w:val="11"/>
        </w:numPr>
        <w:spacing w:before="120" w:beforeAutospacing="0" w:after="120" w:afterAutospacing="0"/>
        <w:ind w:left="426" w:right="120"/>
        <w:jc w:val="both"/>
        <w:rPr>
          <w:rFonts w:ascii="Calibri" w:hAnsi="Calibri" w:cs="Calibri"/>
          <w:color w:val="000000"/>
          <w:sz w:val="22"/>
          <w:szCs w:val="22"/>
        </w:rPr>
      </w:pPr>
      <w:r>
        <w:rPr>
          <w:rFonts w:ascii="Calibri" w:hAnsi="Calibri" w:cs="Calibri"/>
          <w:color w:val="000000"/>
          <w:sz w:val="22"/>
          <w:szCs w:val="22"/>
        </w:rPr>
        <w:t>O contratado apresentará à Administração documentação que comprove a capacidade técnica do subcontratado, que será avaliada e juntada aos autos do processo correspondente.</w:t>
      </w:r>
    </w:p>
    <w:p w14:paraId="4C497158" w14:textId="77777777" w:rsidR="00404D08" w:rsidRDefault="00000000">
      <w:pPr>
        <w:pStyle w:val="textojustificado"/>
        <w:numPr>
          <w:ilvl w:val="1"/>
          <w:numId w:val="11"/>
        </w:numPr>
        <w:spacing w:before="120" w:beforeAutospacing="0" w:after="120" w:afterAutospacing="0"/>
        <w:ind w:left="426" w:right="120"/>
        <w:jc w:val="both"/>
        <w:rPr>
          <w:rFonts w:ascii="Calibri" w:hAnsi="Calibri" w:cs="Calibri"/>
          <w:color w:val="000000"/>
          <w:sz w:val="22"/>
          <w:szCs w:val="22"/>
        </w:rPr>
      </w:pPr>
      <w:r>
        <w:rPr>
          <w:rFonts w:ascii="Calibri" w:hAnsi="Calibri" w:cs="Calibri"/>
          <w:color w:val="000000"/>
          <w:sz w:val="22"/>
          <w:szCs w:val="22"/>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388E2DA9" w14:textId="77777777" w:rsidR="00404D08" w:rsidRDefault="00404D08">
      <w:pPr>
        <w:pStyle w:val="textojustificado"/>
        <w:spacing w:before="120" w:beforeAutospacing="0" w:after="120" w:afterAutospacing="0"/>
        <w:ind w:right="120"/>
        <w:jc w:val="both"/>
        <w:rPr>
          <w:rFonts w:ascii="Calibri" w:hAnsi="Calibri" w:cs="Calibri"/>
          <w:color w:val="000000"/>
          <w:sz w:val="22"/>
          <w:szCs w:val="22"/>
        </w:rPr>
      </w:pPr>
    </w:p>
    <w:p w14:paraId="417A8D6D" w14:textId="77777777" w:rsidR="00404D08" w:rsidRDefault="00000000">
      <w:pPr>
        <w:pStyle w:val="textojustificado"/>
        <w:numPr>
          <w:ilvl w:val="0"/>
          <w:numId w:val="11"/>
        </w:numPr>
        <w:spacing w:before="120" w:beforeAutospacing="0" w:after="120" w:afterAutospacing="0"/>
        <w:ind w:right="120"/>
        <w:jc w:val="both"/>
        <w:rPr>
          <w:rFonts w:ascii="Calibri" w:hAnsi="Calibri" w:cs="Calibri"/>
          <w:b/>
          <w:bCs/>
          <w:color w:val="000000"/>
          <w:sz w:val="22"/>
          <w:szCs w:val="22"/>
        </w:rPr>
      </w:pPr>
      <w:r>
        <w:rPr>
          <w:rFonts w:asciiTheme="minorHAnsi" w:hAnsiTheme="minorHAnsi" w:cstheme="minorHAnsi"/>
          <w:b/>
          <w:bCs/>
          <w:sz w:val="22"/>
          <w:szCs w:val="22"/>
        </w:rPr>
        <w:t>CLÁUSULA QUINTA - PREÇO</w:t>
      </w:r>
    </w:p>
    <w:p w14:paraId="1590710E" w14:textId="77777777" w:rsidR="00404D08" w:rsidRDefault="00000000">
      <w:pPr>
        <w:pStyle w:val="Nivel2"/>
        <w:numPr>
          <w:ilvl w:val="1"/>
          <w:numId w:val="12"/>
        </w:numPr>
        <w:spacing w:afterLines="120" w:after="288" w:line="312" w:lineRule="auto"/>
        <w:rPr>
          <w:rFonts w:asciiTheme="minorHAnsi" w:hAnsiTheme="minorHAnsi" w:cstheme="minorHAnsi"/>
          <w:sz w:val="22"/>
          <w:szCs w:val="22"/>
        </w:rPr>
      </w:pPr>
      <w:r>
        <w:rPr>
          <w:rFonts w:asciiTheme="minorHAnsi" w:hAnsiTheme="minorHAnsi" w:cstheme="minorHAnsi"/>
          <w:sz w:val="22"/>
          <w:szCs w:val="22"/>
          <w:lang w:eastAsia="en-US"/>
        </w:rPr>
        <w:t xml:space="preserve">O valor mensal da </w:t>
      </w:r>
      <w:r>
        <w:rPr>
          <w:rFonts w:asciiTheme="minorHAnsi" w:hAnsiTheme="minorHAnsi" w:cstheme="minorHAnsi"/>
          <w:sz w:val="22"/>
          <w:szCs w:val="22"/>
        </w:rPr>
        <w:t>contratação</w:t>
      </w:r>
      <w:r>
        <w:rPr>
          <w:rFonts w:asciiTheme="minorHAnsi" w:hAnsiTheme="minorHAnsi" w:cstheme="minorHAnsi"/>
          <w:sz w:val="22"/>
          <w:szCs w:val="22"/>
          <w:lang w:eastAsia="en-US"/>
        </w:rPr>
        <w:t xml:space="preserve"> é de R$ .......... (.....), perfazendo o valor total de R$ ....... (....).</w:t>
      </w:r>
    </w:p>
    <w:p w14:paraId="614DF37C" w14:textId="77777777" w:rsidR="00404D08" w:rsidRDefault="00000000">
      <w:pPr>
        <w:pStyle w:val="Nivel2"/>
        <w:numPr>
          <w:ilvl w:val="1"/>
          <w:numId w:val="12"/>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682CE3E" w14:textId="77777777" w:rsidR="00404D08" w:rsidRDefault="00000000">
      <w:pPr>
        <w:pStyle w:val="Nivel2"/>
        <w:numPr>
          <w:ilvl w:val="1"/>
          <w:numId w:val="12"/>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O valor acima é meramente estimativo, de forma que os pagamentos devidos ao contratado dependerão dos quantitativos efetivamente fornecidos.</w:t>
      </w:r>
    </w:p>
    <w:p w14:paraId="632ECD1B" w14:textId="77777777" w:rsidR="00404D08" w:rsidRDefault="00000000">
      <w:pPr>
        <w:pStyle w:val="Nivel2"/>
        <w:numPr>
          <w:ilvl w:val="0"/>
          <w:numId w:val="12"/>
        </w:numPr>
        <w:spacing w:afterLines="120" w:after="288" w:line="312" w:lineRule="auto"/>
        <w:rPr>
          <w:rFonts w:asciiTheme="minorHAnsi" w:hAnsiTheme="minorHAnsi" w:cstheme="minorHAnsi"/>
          <w:b/>
          <w:bCs/>
          <w:sz w:val="22"/>
          <w:szCs w:val="22"/>
        </w:rPr>
      </w:pPr>
      <w:r>
        <w:rPr>
          <w:rFonts w:asciiTheme="minorHAnsi" w:hAnsiTheme="minorHAnsi" w:cstheme="minorHAnsi"/>
          <w:b/>
          <w:bCs/>
          <w:sz w:val="22"/>
          <w:szCs w:val="22"/>
        </w:rPr>
        <w:t>CLÁUSULA SEXTA - PAGAMENTO (</w:t>
      </w:r>
      <w:hyperlink r:id="rId13" w:anchor="art92" w:history="1">
        <w:r>
          <w:rPr>
            <w:rStyle w:val="Hyperlink"/>
            <w:rFonts w:asciiTheme="minorHAnsi" w:hAnsiTheme="minorHAnsi" w:cstheme="minorHAnsi"/>
            <w:b/>
            <w:bCs/>
            <w:sz w:val="22"/>
            <w:szCs w:val="22"/>
          </w:rPr>
          <w:t>art. 92, V e VI</w:t>
        </w:r>
      </w:hyperlink>
      <w:r>
        <w:rPr>
          <w:rFonts w:asciiTheme="minorHAnsi" w:hAnsiTheme="minorHAnsi" w:cstheme="minorHAnsi"/>
          <w:b/>
          <w:bCs/>
          <w:sz w:val="22"/>
          <w:szCs w:val="22"/>
        </w:rPr>
        <w:t>)</w:t>
      </w:r>
    </w:p>
    <w:p w14:paraId="157F6193" w14:textId="77777777" w:rsidR="00404D08" w:rsidRDefault="00000000">
      <w:pPr>
        <w:pStyle w:val="Nivel2"/>
        <w:numPr>
          <w:ilvl w:val="1"/>
          <w:numId w:val="12"/>
        </w:numPr>
        <w:ind w:left="567" w:hanging="567"/>
        <w:rPr>
          <w:rFonts w:asciiTheme="minorHAnsi" w:hAnsiTheme="minorHAnsi" w:cstheme="minorHAnsi"/>
          <w:sz w:val="22"/>
          <w:szCs w:val="22"/>
        </w:rPr>
      </w:pPr>
      <w:r>
        <w:rPr>
          <w:rFonts w:asciiTheme="minorHAnsi" w:hAnsiTheme="minorHAnsi" w:cstheme="minorHAnsi"/>
          <w:sz w:val="22"/>
          <w:szCs w:val="22"/>
        </w:rPr>
        <w:t xml:space="preserve">O prazo para pagamento </w:t>
      </w:r>
      <w:r>
        <w:rPr>
          <w:rFonts w:asciiTheme="minorHAnsi" w:hAnsiTheme="minorHAnsi" w:cstheme="minorHAnsi"/>
          <w:sz w:val="22"/>
          <w:szCs w:val="22"/>
          <w:lang w:eastAsia="en-US"/>
        </w:rPr>
        <w:t>ao contratado</w:t>
      </w:r>
      <w:r>
        <w:rPr>
          <w:rFonts w:asciiTheme="minorHAnsi" w:hAnsiTheme="minorHAnsi" w:cstheme="minorHAnsi"/>
          <w:sz w:val="22"/>
          <w:szCs w:val="22"/>
        </w:rPr>
        <w:t xml:space="preserve"> e demais condições a ele referentes, inclusive quanto à utilização da Conta-Depósito Vinculada - bloqueada para movimentação ou do pagamento pelo fato gerador, encontram-se definidos no Termo de Referência, anexo a este Contrato.</w:t>
      </w:r>
    </w:p>
    <w:p w14:paraId="52CEF2EF" w14:textId="77777777" w:rsidR="00404D08" w:rsidRDefault="00404D08">
      <w:pPr>
        <w:pStyle w:val="Nivel2"/>
        <w:numPr>
          <w:ilvl w:val="0"/>
          <w:numId w:val="0"/>
        </w:numPr>
        <w:ind w:left="567"/>
        <w:rPr>
          <w:rFonts w:asciiTheme="minorHAnsi" w:hAnsiTheme="minorHAnsi" w:cstheme="minorHAnsi"/>
          <w:sz w:val="22"/>
          <w:szCs w:val="22"/>
        </w:rPr>
      </w:pPr>
    </w:p>
    <w:p w14:paraId="684A8CF2" w14:textId="77777777" w:rsidR="00404D08" w:rsidRDefault="00000000">
      <w:pPr>
        <w:pStyle w:val="Nivel2"/>
        <w:numPr>
          <w:ilvl w:val="0"/>
          <w:numId w:val="12"/>
        </w:numPr>
        <w:rPr>
          <w:rFonts w:asciiTheme="minorHAnsi" w:hAnsiTheme="minorHAnsi" w:cstheme="minorHAnsi"/>
          <w:b/>
          <w:bCs/>
          <w:sz w:val="22"/>
          <w:szCs w:val="22"/>
        </w:rPr>
      </w:pPr>
      <w:r>
        <w:rPr>
          <w:rFonts w:asciiTheme="minorHAnsi" w:hAnsiTheme="minorHAnsi" w:cstheme="minorHAnsi"/>
          <w:b/>
          <w:bCs/>
          <w:sz w:val="22"/>
          <w:szCs w:val="22"/>
        </w:rPr>
        <w:t>CLÁUSULA SÉTIMA - REPACTUAÇÃO DOS PREÇOS CONTRATADOS (</w:t>
      </w:r>
      <w:hyperlink r:id="rId14" w:anchor="art92" w:history="1">
        <w:r>
          <w:rPr>
            <w:rStyle w:val="Hyperlink"/>
            <w:rFonts w:asciiTheme="minorHAnsi" w:hAnsiTheme="minorHAnsi" w:cstheme="minorHAnsi"/>
            <w:b/>
            <w:bCs/>
            <w:sz w:val="22"/>
            <w:szCs w:val="22"/>
          </w:rPr>
          <w:t>art. 92, V e X</w:t>
        </w:r>
      </w:hyperlink>
      <w:r>
        <w:rPr>
          <w:rFonts w:asciiTheme="minorHAnsi" w:hAnsiTheme="minorHAnsi" w:cstheme="minorHAnsi"/>
          <w:b/>
          <w:bCs/>
          <w:sz w:val="22"/>
          <w:szCs w:val="22"/>
        </w:rPr>
        <w:t xml:space="preserve">) </w:t>
      </w:r>
    </w:p>
    <w:p w14:paraId="0F0DFCC1" w14:textId="77777777" w:rsidR="00404D08" w:rsidRDefault="00404D08">
      <w:pPr>
        <w:pStyle w:val="PargrafodaLista"/>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26A62D9D" w14:textId="77777777" w:rsidR="00404D08" w:rsidRDefault="00404D08">
      <w:pPr>
        <w:pStyle w:val="PargrafodaLista"/>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5030AE09" w14:textId="77777777" w:rsidR="00404D08" w:rsidRDefault="00404D08">
      <w:pPr>
        <w:pStyle w:val="PargrafodaLista"/>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76916C7A" w14:textId="77777777" w:rsidR="00404D08" w:rsidRDefault="00404D08">
      <w:pPr>
        <w:pStyle w:val="PargrafodaLista"/>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43FB8306" w14:textId="77777777" w:rsidR="00404D08" w:rsidRDefault="00404D08">
      <w:pPr>
        <w:pStyle w:val="PargrafodaLista"/>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22DE5D04" w14:textId="77777777" w:rsidR="00404D08" w:rsidRDefault="00404D08">
      <w:pPr>
        <w:pStyle w:val="PargrafodaLista"/>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47A32224" w14:textId="77777777" w:rsidR="00404D08" w:rsidRDefault="00404D08">
      <w:pPr>
        <w:pStyle w:val="PargrafodaLista"/>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5861A80D" w14:textId="77777777" w:rsidR="00404D08" w:rsidRDefault="00404D08">
      <w:pPr>
        <w:pStyle w:val="PargrafodaLista"/>
        <w:keepNext/>
        <w:keepLines/>
        <w:numPr>
          <w:ilvl w:val="0"/>
          <w:numId w:val="12"/>
        </w:numPr>
        <w:tabs>
          <w:tab w:val="left" w:pos="567"/>
        </w:tabs>
        <w:suppressAutoHyphens w:val="0"/>
        <w:spacing w:before="240"/>
        <w:ind w:left="567" w:hanging="567"/>
        <w:contextualSpacing w:val="0"/>
        <w:jc w:val="both"/>
        <w:outlineLvl w:val="0"/>
        <w:rPr>
          <w:rFonts w:asciiTheme="minorHAnsi" w:eastAsiaTheme="majorEastAsia" w:hAnsiTheme="minorHAnsi" w:cstheme="minorHAnsi"/>
          <w:b/>
          <w:bCs/>
          <w:vanish/>
          <w:sz w:val="22"/>
          <w:szCs w:val="22"/>
        </w:rPr>
      </w:pPr>
    </w:p>
    <w:p w14:paraId="3578E6EC" w14:textId="77777777" w:rsidR="00404D08" w:rsidRDefault="00000000">
      <w:pPr>
        <w:pStyle w:val="Nivel2"/>
        <w:numPr>
          <w:ilvl w:val="1"/>
          <w:numId w:val="4"/>
        </w:numPr>
        <w:rPr>
          <w:rFonts w:asciiTheme="minorHAnsi" w:hAnsiTheme="minorHAnsi" w:cstheme="minorHAnsi"/>
          <w:sz w:val="22"/>
          <w:szCs w:val="22"/>
        </w:rPr>
      </w:pPr>
      <w:r>
        <w:rPr>
          <w:rFonts w:asciiTheme="minorHAnsi" w:hAnsiTheme="minorHAnsi" w:cstheme="minorHAnsi"/>
          <w:sz w:val="22"/>
          <w:szCs w:val="22"/>
        </w:rPr>
        <w:t>Os preços contratados serão repactuados para manutenção do equilíbrio econômico-financeiro, após o interregno de um ano, mediante solicitação do contratado.</w:t>
      </w:r>
    </w:p>
    <w:p w14:paraId="7A3FAA4C"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O interregno mínimo de 1 (</w:t>
      </w:r>
      <w:r>
        <w:rPr>
          <w:rFonts w:asciiTheme="minorHAnsi" w:hAnsiTheme="minorHAnsi" w:cstheme="minorHAnsi"/>
          <w:sz w:val="22"/>
          <w:szCs w:val="22"/>
        </w:rPr>
        <w:t>um</w:t>
      </w:r>
      <w:r>
        <w:rPr>
          <w:rFonts w:asciiTheme="minorHAnsi" w:eastAsia="Times New Roman" w:hAnsiTheme="minorHAnsi" w:cstheme="minorHAnsi"/>
          <w:sz w:val="22"/>
          <w:szCs w:val="22"/>
        </w:rPr>
        <w:t>) ano para a primeira repactuação será contado:</w:t>
      </w:r>
    </w:p>
    <w:p w14:paraId="77751925" w14:textId="77777777" w:rsidR="00404D08" w:rsidRDefault="00000000">
      <w:pPr>
        <w:numPr>
          <w:ilvl w:val="0"/>
          <w:numId w:val="13"/>
        </w:numPr>
        <w:suppressAutoHyphens w:val="0"/>
        <w:spacing w:before="120" w:after="120" w:line="276" w:lineRule="auto"/>
        <w:ind w:left="567" w:hanging="567"/>
        <w:contextualSpacing/>
        <w:jc w:val="both"/>
        <w:rPr>
          <w:rFonts w:asciiTheme="minorHAnsi" w:hAnsiTheme="minorHAnsi" w:cstheme="minorHAnsi"/>
          <w:sz w:val="22"/>
          <w:szCs w:val="22"/>
        </w:rPr>
      </w:pPr>
      <w:r>
        <w:rPr>
          <w:rFonts w:asciiTheme="minorHAnsi" w:hAnsiTheme="minorHAnsi" w:cstheme="minorHAnsi"/>
          <w:sz w:val="22"/>
          <w:szCs w:val="22"/>
        </w:rPr>
        <w:t xml:space="preserve">Para os custos relativos à mão de obra, vinculados à data-base da categoria profissional: a partir da data de início dos efeitos financeiros do acordo, convenção ou dissídio coletivo de trabalho </w:t>
      </w:r>
      <w:r>
        <w:rPr>
          <w:rFonts w:asciiTheme="minorHAnsi" w:hAnsiTheme="minorHAnsi" w:cstheme="minorHAnsi"/>
          <w:color w:val="000000"/>
          <w:sz w:val="22"/>
          <w:szCs w:val="22"/>
        </w:rPr>
        <w:t>ao qual a proposta estiver vinculada</w:t>
      </w:r>
      <w:r>
        <w:rPr>
          <w:rFonts w:asciiTheme="minorHAnsi" w:hAnsiTheme="minorHAnsi" w:cstheme="minorHAnsi"/>
          <w:sz w:val="22"/>
          <w:szCs w:val="22"/>
        </w:rPr>
        <w:t xml:space="preserve">, relativo a cada categoria profissional abrangida pelo contrato; </w:t>
      </w:r>
    </w:p>
    <w:p w14:paraId="6252A43D" w14:textId="77777777" w:rsidR="00404D08" w:rsidRDefault="00000000">
      <w:pPr>
        <w:numPr>
          <w:ilvl w:val="0"/>
          <w:numId w:val="13"/>
        </w:numPr>
        <w:suppressAutoHyphens w:val="0"/>
        <w:spacing w:before="120" w:after="120" w:line="276" w:lineRule="auto"/>
        <w:ind w:left="567" w:hanging="567"/>
        <w:contextualSpacing/>
        <w:jc w:val="both"/>
        <w:rPr>
          <w:rFonts w:asciiTheme="minorHAnsi" w:hAnsiTheme="minorHAnsi" w:cstheme="minorHAnsi"/>
          <w:sz w:val="22"/>
          <w:szCs w:val="22"/>
        </w:rPr>
      </w:pPr>
      <w:r>
        <w:rPr>
          <w:rFonts w:asciiTheme="minorHAnsi" w:hAnsiTheme="minorHAnsi" w:cstheme="minorHAnsi"/>
          <w:sz w:val="22"/>
          <w:szCs w:val="22"/>
        </w:rPr>
        <w:t>Para</w:t>
      </w:r>
      <w:r>
        <w:rPr>
          <w:rFonts w:asciiTheme="minorHAnsi" w:hAnsiTheme="minorHAnsi" w:cstheme="minorHAnsi"/>
          <w:color w:val="000000"/>
          <w:sz w:val="22"/>
          <w:szCs w:val="22"/>
        </w:rPr>
        <w:t> os custos decorrentes do mercado</w:t>
      </w:r>
      <w:r>
        <w:rPr>
          <w:rFonts w:asciiTheme="minorHAnsi" w:hAnsiTheme="minorHAnsi" w:cstheme="minorHAnsi"/>
          <w:sz w:val="22"/>
          <w:szCs w:val="22"/>
        </w:rPr>
        <w:t>: a partir da apresentação da proposta.</w:t>
      </w:r>
    </w:p>
    <w:p w14:paraId="1773A57C"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Nas repactuações subsequentes à primeira, o interregno mínimo 1 (um) ano será contado a partir da data da última repactuação correspondente à mesma parcela objeto da nova solicitação.</w:t>
      </w:r>
    </w:p>
    <w:p w14:paraId="4AA03A0C" w14:textId="77777777" w:rsidR="00404D08" w:rsidRDefault="00404D08">
      <w:pPr>
        <w:pStyle w:val="PargrafodaLista"/>
        <w:numPr>
          <w:ilvl w:val="0"/>
          <w:numId w:val="14"/>
        </w:numPr>
        <w:suppressAutoHyphens w:val="0"/>
        <w:spacing w:before="120" w:after="120" w:line="276" w:lineRule="auto"/>
        <w:ind w:left="567" w:hanging="567"/>
        <w:jc w:val="both"/>
        <w:rPr>
          <w:rFonts w:asciiTheme="minorHAnsi" w:hAnsiTheme="minorHAnsi" w:cstheme="minorHAnsi"/>
          <w:vanish/>
          <w:sz w:val="22"/>
          <w:szCs w:val="22"/>
        </w:rPr>
      </w:pPr>
    </w:p>
    <w:p w14:paraId="7FDFBA71" w14:textId="77777777" w:rsidR="00404D08" w:rsidRDefault="00404D08">
      <w:pPr>
        <w:pStyle w:val="PargrafodaLista"/>
        <w:numPr>
          <w:ilvl w:val="0"/>
          <w:numId w:val="14"/>
        </w:numPr>
        <w:suppressAutoHyphens w:val="0"/>
        <w:spacing w:before="120" w:after="120" w:line="276" w:lineRule="auto"/>
        <w:ind w:left="567" w:hanging="567"/>
        <w:jc w:val="both"/>
        <w:rPr>
          <w:rFonts w:asciiTheme="minorHAnsi" w:hAnsiTheme="minorHAnsi" w:cstheme="minorHAnsi"/>
          <w:vanish/>
          <w:sz w:val="22"/>
          <w:szCs w:val="22"/>
        </w:rPr>
      </w:pPr>
    </w:p>
    <w:p w14:paraId="45008A52" w14:textId="77777777" w:rsidR="00404D08" w:rsidRDefault="00404D08">
      <w:pPr>
        <w:pStyle w:val="PargrafodaLista"/>
        <w:numPr>
          <w:ilvl w:val="1"/>
          <w:numId w:val="14"/>
        </w:numPr>
        <w:suppressAutoHyphens w:val="0"/>
        <w:spacing w:before="120" w:after="120" w:line="276" w:lineRule="auto"/>
        <w:ind w:left="567" w:hanging="567"/>
        <w:jc w:val="both"/>
        <w:rPr>
          <w:rFonts w:asciiTheme="minorHAnsi" w:hAnsiTheme="minorHAnsi" w:cstheme="minorHAnsi"/>
          <w:vanish/>
          <w:sz w:val="22"/>
          <w:szCs w:val="22"/>
        </w:rPr>
      </w:pPr>
    </w:p>
    <w:p w14:paraId="40C73CA3" w14:textId="77777777" w:rsidR="00404D08" w:rsidRDefault="00000000">
      <w:pPr>
        <w:pStyle w:val="PargrafodaLista"/>
        <w:numPr>
          <w:ilvl w:val="2"/>
          <w:numId w:val="4"/>
        </w:numPr>
        <w:suppressAutoHyphens w:val="0"/>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Entende-se como última repactuação a data em que iniciados seus efeitos financeiros, independentemente daquela em que apostilada.</w:t>
      </w:r>
    </w:p>
    <w:p w14:paraId="366E12AE" w14:textId="77777777" w:rsidR="00404D08" w:rsidRDefault="00000000">
      <w:pPr>
        <w:pStyle w:val="Nivel2"/>
        <w:numPr>
          <w:ilvl w:val="1"/>
          <w:numId w:val="4"/>
        </w:numPr>
        <w:ind w:left="567" w:hanging="567"/>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A repactuação poderá ser dividida em tantas parcelas quantas forem necessárias, </w:t>
      </w:r>
      <w:r>
        <w:rPr>
          <w:rFonts w:asciiTheme="minorHAnsi" w:eastAsia="Times New Roman" w:hAnsiTheme="minorHAnsi" w:cstheme="minorHAnsi"/>
          <w:sz w:val="22"/>
          <w:szCs w:val="22"/>
        </w:rPr>
        <w:t>observado</w:t>
      </w:r>
      <w:r>
        <w:rPr>
          <w:rFonts w:asciiTheme="minorHAnsi" w:eastAsia="Calibri" w:hAnsiTheme="minorHAnsi" w:cstheme="minorHAnsi"/>
          <w:sz w:val="22"/>
          <w:szCs w:val="22"/>
          <w:lang w:eastAsia="en-US"/>
        </w:rPr>
        <w:t xml:space="preserve"> o princípio da anualidade do reajuste de preços da contratação, podendo ser </w:t>
      </w:r>
      <w:r>
        <w:rPr>
          <w:rFonts w:asciiTheme="minorHAnsi" w:eastAsia="Times New Roman" w:hAnsiTheme="minorHAnsi" w:cstheme="minorHAnsi"/>
          <w:sz w:val="22"/>
          <w:szCs w:val="22"/>
        </w:rPr>
        <w:t>realizada</w:t>
      </w:r>
      <w:r>
        <w:rPr>
          <w:rFonts w:asciiTheme="minorHAnsi" w:eastAsia="Calibri" w:hAnsiTheme="minorHAnsi" w:cstheme="minorHAnsi"/>
          <w:sz w:val="22"/>
          <w:szCs w:val="22"/>
          <w:lang w:eastAsia="en-US"/>
        </w:rPr>
        <w:t xml:space="preserve"> em momentos distintos para discutir a variação de custos que tenham sua anualidade </w:t>
      </w:r>
      <w:r>
        <w:rPr>
          <w:rFonts w:asciiTheme="minorHAnsi" w:eastAsia="Times New Roman" w:hAnsiTheme="minorHAnsi" w:cstheme="minorHAnsi"/>
          <w:sz w:val="22"/>
          <w:szCs w:val="22"/>
        </w:rPr>
        <w:t>resultante</w:t>
      </w:r>
      <w:r>
        <w:rPr>
          <w:rFonts w:asciiTheme="minorHAnsi" w:eastAsia="Calibri" w:hAnsiTheme="minorHAnsi" w:cstheme="minorHAnsi"/>
          <w:sz w:val="22"/>
          <w:szCs w:val="22"/>
          <w:lang w:eastAsia="en-US"/>
        </w:rPr>
        <w:t xml:space="preserve"> em datas diferenciadas, como os decorrentes de mão de obra e os decorrentes dos insumos necessários à execução dos serviços.</w:t>
      </w:r>
      <w:r>
        <w:rPr>
          <w:rFonts w:asciiTheme="minorHAnsi" w:eastAsia="Times New Roman" w:hAnsiTheme="minorHAnsi" w:cstheme="minorHAnsi"/>
          <w:sz w:val="22"/>
          <w:szCs w:val="22"/>
        </w:rPr>
        <w:t xml:space="preserve"> (</w:t>
      </w:r>
      <w:hyperlink r:id="rId15" w:anchor="art135§4" w:history="1">
        <w:r>
          <w:rPr>
            <w:rStyle w:val="Hyperlink"/>
            <w:rFonts w:asciiTheme="minorHAnsi" w:eastAsia="Times New Roman" w:hAnsiTheme="minorHAnsi" w:cstheme="minorHAnsi"/>
            <w:sz w:val="22"/>
            <w:szCs w:val="22"/>
          </w:rPr>
          <w:t>art. 135, § 4º, da Lei n.º 14.133/2021</w:t>
        </w:r>
      </w:hyperlink>
      <w:r>
        <w:rPr>
          <w:rFonts w:asciiTheme="minorHAnsi" w:eastAsia="Times New Roman" w:hAnsiTheme="minorHAnsi" w:cstheme="minorHAnsi"/>
          <w:sz w:val="22"/>
          <w:szCs w:val="22"/>
        </w:rPr>
        <w:t>)</w:t>
      </w:r>
      <w:r>
        <w:rPr>
          <w:rFonts w:asciiTheme="minorHAnsi" w:eastAsia="Calibri" w:hAnsiTheme="minorHAnsi" w:cstheme="minorHAnsi"/>
          <w:sz w:val="22"/>
          <w:szCs w:val="22"/>
          <w:lang w:eastAsia="en-US"/>
        </w:rPr>
        <w:t xml:space="preserve">. </w:t>
      </w:r>
    </w:p>
    <w:p w14:paraId="37CF7268"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Quando a contratação envolver mais de uma categoria profissional, a repactuação dos custos contratuais decorrentes da mão de obra poderá ser dividida em tantos quantos forem os acordos, convenções ou dissídios coletivos de trabalho das respectivas categorias. (</w:t>
      </w:r>
      <w:hyperlink r:id="rId16" w:anchor="art135§5" w:history="1">
        <w:r>
          <w:rPr>
            <w:rStyle w:val="Hyperlink"/>
            <w:rFonts w:asciiTheme="minorHAnsi" w:eastAsia="Times New Roman" w:hAnsiTheme="minorHAnsi" w:cstheme="minorHAnsi"/>
            <w:sz w:val="22"/>
            <w:szCs w:val="22"/>
          </w:rPr>
          <w:t>art. 135, § 5º, da Lei n.º 14.133/2021</w:t>
        </w:r>
      </w:hyperlink>
      <w:r>
        <w:rPr>
          <w:rFonts w:asciiTheme="minorHAnsi" w:eastAsia="Times New Roman" w:hAnsiTheme="minorHAnsi" w:cstheme="minorHAnsi"/>
          <w:sz w:val="22"/>
          <w:szCs w:val="22"/>
        </w:rPr>
        <w:t>)</w:t>
      </w:r>
    </w:p>
    <w:p w14:paraId="2C64C76A"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É vedada a inclusão, por ocasião da repactuação, de benefícios não previstos na proposta inicial, exceto quando se tornarem obrigatórios por força de lei, acordo, convenção ou dissídio coletivo de trabalho.  </w:t>
      </w:r>
    </w:p>
    <w:p w14:paraId="3142F9DC"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Na repactuação, o contratante não se vinculará 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w:t>
      </w:r>
      <w:hyperlink r:id="rId17" w:anchor="art135§1" w:history="1">
        <w:r>
          <w:rPr>
            <w:rStyle w:val="Hyperlink"/>
            <w:rFonts w:asciiTheme="minorHAnsi" w:eastAsia="Times New Roman" w:hAnsiTheme="minorHAnsi" w:cstheme="minorHAnsi"/>
            <w:sz w:val="22"/>
            <w:szCs w:val="22"/>
          </w:rPr>
          <w:t>art. 135, §§ 1º e 2º, da Lei n.º 14.133/2021</w:t>
        </w:r>
      </w:hyperlink>
      <w:r>
        <w:rPr>
          <w:rFonts w:asciiTheme="minorHAnsi" w:eastAsia="Times New Roman" w:hAnsiTheme="minorHAnsi" w:cstheme="minorHAnsi"/>
          <w:sz w:val="22"/>
          <w:szCs w:val="22"/>
        </w:rPr>
        <w:t>)</w:t>
      </w:r>
    </w:p>
    <w:p w14:paraId="71784A48"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2EC6926F" w14:textId="77777777" w:rsidR="00404D08" w:rsidRDefault="00404D08">
      <w:pPr>
        <w:pStyle w:val="PargrafodaLista"/>
        <w:numPr>
          <w:ilvl w:val="1"/>
          <w:numId w:val="4"/>
        </w:numPr>
        <w:suppressAutoHyphens w:val="0"/>
        <w:spacing w:before="120" w:after="120" w:line="276" w:lineRule="auto"/>
        <w:ind w:left="567" w:hanging="567"/>
        <w:jc w:val="both"/>
        <w:rPr>
          <w:rFonts w:asciiTheme="minorHAnsi" w:hAnsiTheme="minorHAnsi" w:cstheme="minorHAnsi"/>
          <w:vanish/>
          <w:sz w:val="22"/>
          <w:szCs w:val="22"/>
        </w:rPr>
      </w:pPr>
    </w:p>
    <w:p w14:paraId="12EC83EB" w14:textId="77777777" w:rsidR="00404D08" w:rsidRDefault="00404D08">
      <w:pPr>
        <w:pStyle w:val="PargrafodaLista"/>
        <w:numPr>
          <w:ilvl w:val="1"/>
          <w:numId w:val="4"/>
        </w:numPr>
        <w:suppressAutoHyphens w:val="0"/>
        <w:spacing w:before="120" w:after="120" w:line="276" w:lineRule="auto"/>
        <w:ind w:left="567" w:hanging="567"/>
        <w:jc w:val="both"/>
        <w:rPr>
          <w:rFonts w:asciiTheme="minorHAnsi" w:hAnsiTheme="minorHAnsi" w:cstheme="minorHAnsi"/>
          <w:vanish/>
          <w:sz w:val="22"/>
          <w:szCs w:val="22"/>
        </w:rPr>
      </w:pPr>
    </w:p>
    <w:p w14:paraId="168D8ED0" w14:textId="77777777" w:rsidR="00404D08" w:rsidRDefault="00404D08">
      <w:pPr>
        <w:pStyle w:val="PargrafodaLista"/>
        <w:numPr>
          <w:ilvl w:val="1"/>
          <w:numId w:val="4"/>
        </w:numPr>
        <w:suppressAutoHyphens w:val="0"/>
        <w:spacing w:before="120" w:after="120" w:line="276" w:lineRule="auto"/>
        <w:ind w:left="567" w:hanging="567"/>
        <w:jc w:val="both"/>
        <w:rPr>
          <w:rFonts w:asciiTheme="minorHAnsi" w:hAnsiTheme="minorHAnsi" w:cstheme="minorHAnsi"/>
          <w:vanish/>
          <w:sz w:val="22"/>
          <w:szCs w:val="22"/>
        </w:rPr>
      </w:pPr>
    </w:p>
    <w:p w14:paraId="4FAC7D21" w14:textId="77777777" w:rsidR="00404D08" w:rsidRDefault="00404D08">
      <w:pPr>
        <w:pStyle w:val="PargrafodaLista"/>
        <w:numPr>
          <w:ilvl w:val="1"/>
          <w:numId w:val="4"/>
        </w:numPr>
        <w:suppressAutoHyphens w:val="0"/>
        <w:spacing w:before="120" w:after="120" w:line="276" w:lineRule="auto"/>
        <w:ind w:left="567" w:hanging="567"/>
        <w:jc w:val="both"/>
        <w:rPr>
          <w:rFonts w:asciiTheme="minorHAnsi" w:hAnsiTheme="minorHAnsi" w:cstheme="minorHAnsi"/>
          <w:vanish/>
          <w:sz w:val="22"/>
          <w:szCs w:val="22"/>
        </w:rPr>
      </w:pPr>
    </w:p>
    <w:p w14:paraId="27494457" w14:textId="77777777" w:rsidR="00404D08" w:rsidRDefault="00404D08">
      <w:pPr>
        <w:pStyle w:val="PargrafodaLista"/>
        <w:numPr>
          <w:ilvl w:val="1"/>
          <w:numId w:val="4"/>
        </w:numPr>
        <w:suppressAutoHyphens w:val="0"/>
        <w:spacing w:before="120" w:after="120" w:line="276" w:lineRule="auto"/>
        <w:ind w:left="567" w:hanging="567"/>
        <w:jc w:val="both"/>
        <w:rPr>
          <w:rFonts w:asciiTheme="minorHAnsi" w:hAnsiTheme="minorHAnsi" w:cstheme="minorHAnsi"/>
          <w:vanish/>
          <w:sz w:val="22"/>
          <w:szCs w:val="22"/>
        </w:rPr>
      </w:pPr>
    </w:p>
    <w:p w14:paraId="40CF7FEB" w14:textId="77777777" w:rsidR="00404D08" w:rsidRDefault="00000000">
      <w:pPr>
        <w:pStyle w:val="PargrafodaLista"/>
        <w:numPr>
          <w:ilvl w:val="2"/>
          <w:numId w:val="4"/>
        </w:numPr>
        <w:suppressAutoHyphens w:val="0"/>
        <w:spacing w:before="120" w:after="120" w:line="276" w:lineRule="auto"/>
        <w:ind w:hanging="567"/>
        <w:jc w:val="both"/>
        <w:rPr>
          <w:rFonts w:asciiTheme="minorHAnsi" w:hAnsiTheme="minorHAnsi" w:cstheme="minorHAnsi"/>
          <w:sz w:val="22"/>
          <w:szCs w:val="22"/>
        </w:rPr>
      </w:pPr>
      <w:r>
        <w:rPr>
          <w:rFonts w:asciiTheme="minorHAnsi" w:hAnsiTheme="minorHAnsi" w:cstheme="minorHAnsi"/>
          <w:sz w:val="22"/>
          <w:szCs w:val="22"/>
        </w:rPr>
        <w:t>A repactuação para reajustamento do contrato em razão de novo Acordo, Convenção ou Dissídio Coletivo de Trabalho deve repassar integralmente o aumento de custos da mão de obra decorrente desses instrumentos.</w:t>
      </w:r>
    </w:p>
    <w:p w14:paraId="736B2AB1"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lastRenderedPageBreak/>
        <w:t>Quando a repactuação solicitada pelo contratado se referir aos custos decorrentes do mercado, o respectivo aumento será apurado mediante a aplicação do índice de reajustamento IPCA</w:t>
      </w:r>
      <w:r>
        <w:rPr>
          <w:rFonts w:asciiTheme="minorHAnsi" w:eastAsia="Times New Roman" w:hAnsiTheme="minorHAnsi" w:cstheme="minorHAnsi"/>
          <w:i/>
          <w:iCs/>
          <w:color w:val="FF0000"/>
          <w:sz w:val="22"/>
          <w:szCs w:val="22"/>
        </w:rPr>
        <w:t>,</w:t>
      </w:r>
      <w:r>
        <w:rPr>
          <w:rFonts w:asciiTheme="minorHAnsi" w:eastAsia="Times New Roman" w:hAnsiTheme="minorHAnsi" w:cstheme="minorHAnsi"/>
          <w:color w:val="FF0000"/>
          <w:sz w:val="22"/>
          <w:szCs w:val="22"/>
        </w:rPr>
        <w:t xml:space="preserve"> </w:t>
      </w:r>
      <w:r>
        <w:rPr>
          <w:rFonts w:asciiTheme="minorHAnsi" w:eastAsia="Times New Roman" w:hAnsiTheme="minorHAnsi" w:cstheme="minorHAnsi"/>
          <w:sz w:val="22"/>
          <w:szCs w:val="22"/>
        </w:rPr>
        <w:t xml:space="preserve">com base na seguinte fórmula: </w:t>
      </w:r>
    </w:p>
    <w:p w14:paraId="7151BDB6" w14:textId="77777777" w:rsidR="00404D08" w:rsidRDefault="00000000">
      <w:pPr>
        <w:spacing w:before="120" w:after="120" w:line="276" w:lineRule="auto"/>
        <w:ind w:left="567" w:hanging="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R = V (I – Iº) / Iº, onde:</w:t>
      </w:r>
    </w:p>
    <w:p w14:paraId="67E7E13B" w14:textId="77777777" w:rsidR="00404D08" w:rsidRDefault="00000000">
      <w:pPr>
        <w:spacing w:before="120" w:after="120" w:line="276" w:lineRule="auto"/>
        <w:ind w:left="567" w:hanging="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R = Valor do reajustamento procurado;</w:t>
      </w:r>
    </w:p>
    <w:p w14:paraId="45B886D9" w14:textId="77777777" w:rsidR="00404D08" w:rsidRDefault="00000000">
      <w:pPr>
        <w:spacing w:before="120" w:after="120" w:line="276" w:lineRule="auto"/>
        <w:ind w:left="567" w:hanging="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V = Valor contratual correspondente à parcela dos </w:t>
      </w:r>
      <w:r>
        <w:rPr>
          <w:rFonts w:asciiTheme="minorHAnsi" w:hAnsiTheme="minorHAnsi" w:cstheme="minorHAnsi"/>
          <w:sz w:val="22"/>
          <w:szCs w:val="22"/>
        </w:rPr>
        <w:t>custos decorrentes do mercado</w:t>
      </w:r>
      <w:r>
        <w:rPr>
          <w:rFonts w:asciiTheme="minorHAnsi" w:eastAsia="Calibri" w:hAnsiTheme="minorHAnsi" w:cstheme="minorHAnsi"/>
          <w:sz w:val="22"/>
          <w:szCs w:val="22"/>
          <w:lang w:eastAsia="en-US"/>
        </w:rPr>
        <w:t xml:space="preserve"> a ser reajustada;</w:t>
      </w:r>
    </w:p>
    <w:p w14:paraId="531A1AAF" w14:textId="77777777" w:rsidR="00404D08" w:rsidRDefault="00000000">
      <w:pPr>
        <w:spacing w:before="120" w:after="120" w:line="276" w:lineRule="auto"/>
        <w:ind w:left="567" w:hanging="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shd w:val="clear" w:color="auto" w:fill="FFFFFF"/>
          <w:lang w:eastAsia="en-US"/>
        </w:rPr>
        <w:t>Iº = índice inicial - refere-se ao índice de custos ou de preços correspondente à data de apresentação da proposta;</w:t>
      </w:r>
    </w:p>
    <w:p w14:paraId="2B7E7BF9" w14:textId="77777777" w:rsidR="00404D08" w:rsidRDefault="00000000">
      <w:pPr>
        <w:spacing w:before="120" w:after="120" w:line="276" w:lineRule="auto"/>
        <w:ind w:left="567" w:hanging="567"/>
        <w:jc w:val="both"/>
        <w:rPr>
          <w:rFonts w:asciiTheme="minorHAnsi" w:eastAsia="Calibri" w:hAnsiTheme="minorHAnsi" w:cstheme="minorHAnsi"/>
          <w:sz w:val="22"/>
          <w:szCs w:val="22"/>
          <w:shd w:val="clear" w:color="auto" w:fill="FFFFFF"/>
          <w:lang w:eastAsia="en-US"/>
        </w:rPr>
      </w:pPr>
      <w:r>
        <w:rPr>
          <w:rFonts w:asciiTheme="minorHAnsi" w:eastAsia="Calibri" w:hAnsiTheme="minorHAnsi" w:cstheme="minorHAnsi"/>
          <w:sz w:val="22"/>
          <w:szCs w:val="22"/>
          <w:shd w:val="clear" w:color="auto" w:fill="FFFFFF"/>
          <w:lang w:eastAsia="en-US"/>
        </w:rPr>
        <w:t>I = Índice relativo ao mês do reajustamento</w:t>
      </w:r>
    </w:p>
    <w:p w14:paraId="2E66D57A"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No caso de atraso ou não divulgação do índice de reajustamento, o contratante pagará ao contratado a importância calculada pela última variação conhecida, liquidando a diferença correspondente tão logo seja divulgado o índice definitivo; fica o contratado obrigado a apresentar memória de cálculo referente ao reajustamento de preços do valor remanescente, sempre que este ocorrer.</w:t>
      </w:r>
    </w:p>
    <w:p w14:paraId="3A1870E1"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Nas aferições finais, o índice utilizado para a repactuação dos custos decorrentes do mercado será, obrigatoriamente, o definitivo. </w:t>
      </w:r>
    </w:p>
    <w:p w14:paraId="56AF2D1F"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Caso o índice estabelecido venha a ser extinto ou de qualquer forma não possa mais ser utilizado, será adotado, em substituição, o que vier a ser determinado pela legislação então em vigor. </w:t>
      </w:r>
    </w:p>
    <w:p w14:paraId="1962DFBF"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Na ausência de previsão legal quanto ao índice substituto, as partes elegerão novo índice oficial, para reajustamento do preço do valor remanescente dos custos decorrentes do mercado, por meio de termo aditivo.</w:t>
      </w:r>
    </w:p>
    <w:p w14:paraId="012E61EE"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Independentemente do requerimento de repactuação dos custos decorrentes do mercado, o contratante verificará, a cada anualidade, se houve deflação do índice adotado que justifique o recálculo dos custos em valor menor, promovendo, em caso positivo, a redução dos valores correspondentes da planilha contratual.</w:t>
      </w:r>
    </w:p>
    <w:p w14:paraId="6B6F9C22"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Os efeitos financeiros da repactuação decorrente da variação dos custos contratuais de mão de obra vinculados aos acordos, às convenções ou aos dissídios coletivos de trabalho retroagirão, quando for o caso, à data do início dos efeitos financeiros do novo acordo, convenção ou sentença normativa que fundamenta a repactuação.</w:t>
      </w:r>
    </w:p>
    <w:p w14:paraId="33C5B8CB"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Os novos valores contratuais decorrentes das repactuações poderão se iniciar em data futura, desde que assim acordado entre as partes, sem prejuízo da contagem da anualidade para concessão das repactuações futuras.</w:t>
      </w:r>
    </w:p>
    <w:p w14:paraId="434F0D1A"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Os efeitos financeiros da repactuação ficarão restritos exclusivamente aos itens que a motivaram, e apenas em relação à diferença porventura existente.</w:t>
      </w:r>
    </w:p>
    <w:p w14:paraId="4AB6719E"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O pedido de repactuação deverá ser formulado durante a vigência do contrato e antes de eventual prorrogação ou encerramento contratual, sob pena de preclusão.</w:t>
      </w:r>
    </w:p>
    <w:p w14:paraId="543185B3"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Caso, na data da prorrogação contratual, ainda não tenha sido celebrado o novo acordo, convenção ou dissídio coletivo da categoria, ou ainda não tenha sido possível ao contratante ou ao contratado </w:t>
      </w:r>
      <w:r>
        <w:rPr>
          <w:rFonts w:asciiTheme="minorHAnsi" w:eastAsia="Times New Roman" w:hAnsiTheme="minorHAnsi" w:cstheme="minorHAnsi"/>
          <w:sz w:val="22"/>
          <w:szCs w:val="22"/>
        </w:rPr>
        <w:lastRenderedPageBreak/>
        <w:t>proceder aos cálculos devidos, deverá ser inserida cláusula no termo aditivo de prorrogação para resguardar o direito futuro à repactuação, a ser exercido tão logo se disponha dos valores reajustados, sob pena de preclusão.</w:t>
      </w:r>
    </w:p>
    <w:p w14:paraId="0AE312ED"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A extinção do contrato não configurará óbice para o deferimento da repactuação solicitada tempestivamente, hipótese em que será concedida por meio de termo indenizatório.</w:t>
      </w:r>
    </w:p>
    <w:p w14:paraId="4459BAFB"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O contratante decidirá sobre o pedido de repactuação de preços em até </w:t>
      </w:r>
      <w:r>
        <w:rPr>
          <w:rFonts w:asciiTheme="minorHAnsi" w:eastAsia="Times New Roman" w:hAnsiTheme="minorHAnsi" w:cstheme="minorHAnsi"/>
          <w:iCs/>
          <w:sz w:val="22"/>
          <w:szCs w:val="22"/>
        </w:rPr>
        <w:t>30 (trinta dias),</w:t>
      </w:r>
      <w:r>
        <w:rPr>
          <w:rFonts w:asciiTheme="minorHAnsi" w:eastAsia="Times New Roman" w:hAnsiTheme="minorHAnsi" w:cstheme="minorHAnsi"/>
          <w:color w:val="FF0000"/>
          <w:sz w:val="22"/>
          <w:szCs w:val="22"/>
        </w:rPr>
        <w:t xml:space="preserve"> </w:t>
      </w:r>
      <w:r>
        <w:rPr>
          <w:rFonts w:asciiTheme="minorHAnsi" w:eastAsia="Times New Roman" w:hAnsiTheme="minorHAnsi" w:cstheme="minorHAnsi"/>
          <w:sz w:val="22"/>
          <w:szCs w:val="22"/>
        </w:rPr>
        <w:t>contado da data do fornecimento, pelo contratado, da documentação comprobatória da variação dos custos a serem repactuados. (</w:t>
      </w:r>
      <w:hyperlink r:id="rId18" w:anchor="art92§6" w:history="1">
        <w:r>
          <w:rPr>
            <w:rStyle w:val="Hyperlink"/>
            <w:rFonts w:asciiTheme="minorHAnsi" w:eastAsia="Times New Roman" w:hAnsiTheme="minorHAnsi" w:cstheme="minorHAnsi"/>
            <w:sz w:val="22"/>
            <w:szCs w:val="22"/>
          </w:rPr>
          <w:t>art. 92, § 6º</w:t>
        </w:r>
      </w:hyperlink>
      <w:r>
        <w:rPr>
          <w:rFonts w:asciiTheme="minorHAnsi" w:eastAsia="Times New Roman" w:hAnsiTheme="minorHAnsi" w:cstheme="minorHAnsi"/>
          <w:sz w:val="22"/>
          <w:szCs w:val="22"/>
        </w:rPr>
        <w:t xml:space="preserve">, c/c o </w:t>
      </w:r>
      <w:hyperlink r:id="rId19" w:anchor="art135§6" w:history="1">
        <w:r>
          <w:rPr>
            <w:rStyle w:val="Hyperlink"/>
            <w:rFonts w:asciiTheme="minorHAnsi" w:eastAsia="Times New Roman" w:hAnsiTheme="minorHAnsi" w:cstheme="minorHAnsi"/>
            <w:sz w:val="22"/>
            <w:szCs w:val="22"/>
          </w:rPr>
          <w:t>art. 135, § 6º</w:t>
        </w:r>
      </w:hyperlink>
      <w:r>
        <w:rPr>
          <w:rFonts w:asciiTheme="minorHAnsi" w:eastAsia="Times New Roman" w:hAnsiTheme="minorHAnsi" w:cstheme="minorHAnsi"/>
          <w:sz w:val="22"/>
          <w:szCs w:val="22"/>
        </w:rPr>
        <w:t xml:space="preserve">)  </w:t>
      </w:r>
    </w:p>
    <w:p w14:paraId="41670175"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O prazo referido no subitem anterior ficará suspenso enquanto o contratado não cumprir os atos ou apresentar a documentação solicitada pelo contratante para a comprovação da variação dos custos.</w:t>
      </w:r>
    </w:p>
    <w:p w14:paraId="27AFA9EA"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A repactuação de preços será formalizada por apostilamento.</w:t>
      </w:r>
      <w:r>
        <w:rPr>
          <w:rFonts w:asciiTheme="minorHAnsi" w:eastAsia="Times New Roman" w:hAnsiTheme="minorHAnsi" w:cstheme="minorHAnsi"/>
          <w:color w:val="FF0000"/>
          <w:sz w:val="22"/>
          <w:szCs w:val="22"/>
        </w:rPr>
        <w:t xml:space="preserve"> </w:t>
      </w:r>
    </w:p>
    <w:p w14:paraId="191649A1"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As repactuações não interferem no direito das partes de solicitar, a qualquer momento, a manutenção do equilíbrio econômico dos contratos com base no disposto no </w:t>
      </w:r>
      <w:hyperlink r:id="rId20" w:anchor="art124" w:history="1">
        <w:r>
          <w:rPr>
            <w:rStyle w:val="Hyperlink"/>
            <w:rFonts w:asciiTheme="minorHAnsi" w:eastAsia="Times New Roman" w:hAnsiTheme="minorHAnsi" w:cstheme="minorHAnsi"/>
            <w:sz w:val="22"/>
            <w:szCs w:val="22"/>
          </w:rPr>
          <w:t>art. 124, inciso II, alínea “d”, da Lei nº 14.133, de 2021</w:t>
        </w:r>
      </w:hyperlink>
      <w:r>
        <w:rPr>
          <w:rFonts w:asciiTheme="minorHAnsi" w:eastAsia="Times New Roman" w:hAnsiTheme="minorHAnsi" w:cstheme="minorHAnsi"/>
          <w:sz w:val="22"/>
          <w:szCs w:val="22"/>
        </w:rPr>
        <w:t>.</w:t>
      </w:r>
    </w:p>
    <w:p w14:paraId="0713743E" w14:textId="77777777" w:rsidR="00404D08" w:rsidRDefault="00000000">
      <w:pPr>
        <w:pStyle w:val="Nivel2"/>
        <w:numPr>
          <w:ilvl w:val="1"/>
          <w:numId w:val="4"/>
        </w:numPr>
        <w:ind w:left="567" w:hanging="567"/>
        <w:rPr>
          <w:rFonts w:asciiTheme="minorHAnsi" w:eastAsia="Calibri" w:hAnsiTheme="minorHAnsi" w:cstheme="minorHAnsi"/>
          <w:bCs/>
          <w:i/>
          <w:sz w:val="22"/>
          <w:szCs w:val="22"/>
          <w:lang w:eastAsia="en-US"/>
        </w:rPr>
      </w:pPr>
      <w:r>
        <w:rPr>
          <w:rFonts w:asciiTheme="minorHAnsi" w:eastAsia="Times New Roman" w:hAnsiTheme="minorHAnsi" w:cstheme="minorHAnsi"/>
          <w:iCs/>
          <w:sz w:val="22"/>
          <w:szCs w:val="22"/>
        </w:rPr>
        <w:t>O contratado deverá complementar a garantia contratual anteriormente prestada, de modo que se mantenha a proporção inicial em relação ao valor contratado.</w:t>
      </w:r>
      <w:r>
        <w:rPr>
          <w:rFonts w:asciiTheme="minorHAnsi" w:eastAsia="Times New Roman" w:hAnsiTheme="minorHAnsi" w:cstheme="minorHAnsi"/>
          <w:iCs/>
          <w:strike/>
          <w:sz w:val="22"/>
          <w:szCs w:val="22"/>
        </w:rPr>
        <w:t xml:space="preserve"> </w:t>
      </w:r>
    </w:p>
    <w:p w14:paraId="105F1E55"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A majoração da tarifa de transporte público gera a possibilidade de revisão do item relativo aos valores pagos a título de vale-transporte, constante da Planilha de Custos e Formação de Preços do presente Contrato, desde que comprovada pelo contratado a sua efetiva repercussão sobre os preços contratados.</w:t>
      </w:r>
    </w:p>
    <w:p w14:paraId="2C1B5203" w14:textId="77777777" w:rsidR="00404D08" w:rsidRDefault="00000000">
      <w:pPr>
        <w:pStyle w:val="Nivel2"/>
        <w:numPr>
          <w:ilvl w:val="1"/>
          <w:numId w:val="4"/>
        </w:numPr>
        <w:ind w:left="567"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A revisão dos custos relativos ao vale-transporte será formalizada por apostilamento. </w:t>
      </w:r>
    </w:p>
    <w:p w14:paraId="2F25FA3C" w14:textId="77777777" w:rsidR="00404D08" w:rsidRDefault="00000000">
      <w:pPr>
        <w:pStyle w:val="Nivel01"/>
        <w:rPr>
          <w:rFonts w:asciiTheme="minorHAnsi" w:eastAsia="Times New Roman" w:hAnsiTheme="minorHAnsi" w:cstheme="minorHAnsi"/>
          <w:sz w:val="22"/>
          <w:szCs w:val="22"/>
        </w:rPr>
      </w:pPr>
      <w:r>
        <w:t xml:space="preserve"> CLÁUSULA OITAVA - OBRIGAÇÕES DO CONTRATANTE </w:t>
      </w:r>
      <w:hyperlink r:id="rId21" w:anchor="art92" w:history="1">
        <w:r>
          <w:rPr>
            <w:rStyle w:val="Hyperlink"/>
            <w:rFonts w:asciiTheme="minorHAnsi" w:hAnsiTheme="minorHAnsi" w:cstheme="minorHAnsi"/>
            <w:sz w:val="22"/>
            <w:szCs w:val="22"/>
          </w:rPr>
          <w:t>(art. 92, X, XI e XIV</w:t>
        </w:r>
      </w:hyperlink>
      <w:r>
        <w:t>)</w:t>
      </w:r>
    </w:p>
    <w:p w14:paraId="5EFD8BAA" w14:textId="77777777" w:rsidR="00404D08" w:rsidRDefault="00000000">
      <w:pPr>
        <w:pStyle w:val="Nivel2"/>
        <w:numPr>
          <w:ilvl w:val="1"/>
          <w:numId w:val="4"/>
        </w:numPr>
        <w:spacing w:afterLines="120" w:after="288" w:line="312" w:lineRule="auto"/>
        <w:rPr>
          <w:rFonts w:asciiTheme="minorHAnsi" w:hAnsiTheme="minorHAnsi" w:cstheme="minorHAnsi"/>
          <w:sz w:val="22"/>
          <w:szCs w:val="22"/>
        </w:rPr>
      </w:pPr>
      <w:r>
        <w:rPr>
          <w:rFonts w:asciiTheme="minorHAnsi" w:hAnsiTheme="minorHAnsi" w:cstheme="minorHAnsi"/>
          <w:sz w:val="22"/>
          <w:szCs w:val="22"/>
        </w:rPr>
        <w:t>São obrigações do Contratante:</w:t>
      </w:r>
    </w:p>
    <w:p w14:paraId="3FE3D79E" w14:textId="77777777" w:rsidR="00404D08" w:rsidRDefault="00000000">
      <w:pPr>
        <w:pStyle w:val="Nivel2"/>
        <w:numPr>
          <w:ilvl w:val="1"/>
          <w:numId w:val="4"/>
        </w:numPr>
        <w:spacing w:afterLines="120" w:after="288" w:line="312" w:lineRule="auto"/>
        <w:rPr>
          <w:rFonts w:asciiTheme="minorHAnsi" w:hAnsiTheme="minorHAnsi" w:cstheme="minorHAnsi"/>
          <w:sz w:val="22"/>
          <w:szCs w:val="22"/>
        </w:rPr>
      </w:pPr>
      <w:r>
        <w:rPr>
          <w:rFonts w:asciiTheme="minorHAnsi" w:hAnsiTheme="minorHAnsi" w:cstheme="minorHAnsi"/>
          <w:sz w:val="22"/>
          <w:szCs w:val="22"/>
        </w:rPr>
        <w:t>Exigir o cumprimento de todas as obrigações assumidas pelo Contratado, de acordo com o contrato e seus anexos;</w:t>
      </w:r>
    </w:p>
    <w:p w14:paraId="22D3A097" w14:textId="77777777" w:rsidR="00404D08" w:rsidRDefault="00000000">
      <w:pPr>
        <w:pStyle w:val="Nivel2"/>
        <w:numPr>
          <w:ilvl w:val="1"/>
          <w:numId w:val="4"/>
        </w:numPr>
        <w:spacing w:afterLines="120" w:after="288" w:line="312" w:lineRule="auto"/>
        <w:rPr>
          <w:rFonts w:asciiTheme="minorHAnsi" w:hAnsiTheme="minorHAnsi" w:cstheme="minorHAnsi"/>
          <w:sz w:val="22"/>
          <w:szCs w:val="22"/>
        </w:rPr>
      </w:pPr>
      <w:r>
        <w:rPr>
          <w:rFonts w:asciiTheme="minorHAnsi" w:hAnsiTheme="minorHAnsi" w:cstheme="minorHAnsi"/>
          <w:sz w:val="22"/>
          <w:szCs w:val="22"/>
        </w:rPr>
        <w:t>Receber o objeto no prazo e condições estabelecidas no Termo de Referência;</w:t>
      </w:r>
    </w:p>
    <w:p w14:paraId="2BC492AE" w14:textId="77777777" w:rsidR="00404D08" w:rsidRDefault="00000000">
      <w:pPr>
        <w:pStyle w:val="Nivel2"/>
        <w:numPr>
          <w:ilvl w:val="1"/>
          <w:numId w:val="4"/>
        </w:numPr>
        <w:spacing w:afterLines="120" w:after="288" w:line="312" w:lineRule="auto"/>
        <w:rPr>
          <w:rFonts w:asciiTheme="minorHAnsi" w:hAnsiTheme="minorHAnsi" w:cstheme="minorHAnsi"/>
          <w:sz w:val="22"/>
          <w:szCs w:val="22"/>
        </w:rPr>
      </w:pPr>
      <w:r>
        <w:rPr>
          <w:rFonts w:asciiTheme="minorHAnsi" w:hAnsiTheme="minorHAnsi" w:cstheme="minorHAnsi"/>
          <w:sz w:val="22"/>
          <w:szCs w:val="22"/>
        </w:rPr>
        <w:t>Notificar o Contratado, por escrito, sobre vícios, defeitos ou incorreções verificadas no objeto fornecido, para que seja por ele substituído, reparado ou corrigido, no total ou em parte, às suas expensas;</w:t>
      </w:r>
    </w:p>
    <w:p w14:paraId="2F3BDE2D"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Acompanhar e fiscalizar a execução do contrato e o cumprimento das obrigações pelo Contratado;</w:t>
      </w:r>
    </w:p>
    <w:p w14:paraId="26C72A55"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Comunicar a empresa para emissão de Nota Fiscal relativa à parcela incontroversa da execução do objeto, para efeito de liquidação e pagamento, quando houver controvérsia sobre a execução do objeto, quanto à dimensão, qualidade e quantidade, conforme o </w:t>
      </w:r>
      <w:hyperlink r:id="rId22" w:anchor="art143" w:history="1">
        <w:r>
          <w:rPr>
            <w:rStyle w:val="Hyperlink"/>
            <w:rFonts w:asciiTheme="minorHAnsi" w:hAnsiTheme="minorHAnsi" w:cstheme="minorHAnsi"/>
            <w:sz w:val="22"/>
            <w:szCs w:val="22"/>
          </w:rPr>
          <w:t>art. 143 da Lei nº 14.133, de 2021</w:t>
        </w:r>
      </w:hyperlink>
      <w:r>
        <w:rPr>
          <w:rFonts w:asciiTheme="minorHAnsi" w:hAnsiTheme="minorHAnsi" w:cstheme="minorHAnsi"/>
          <w:sz w:val="22"/>
          <w:szCs w:val="22"/>
        </w:rPr>
        <w:t>;</w:t>
      </w:r>
    </w:p>
    <w:p w14:paraId="41AFCB62"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lastRenderedPageBreak/>
        <w:t>Efetuar o pagamento ao Contratado do valor correspondente à execução do objeto, no prazo, forma e condições estabelecidos no presente Contrato e no Termo de Referência;</w:t>
      </w:r>
    </w:p>
    <w:p w14:paraId="101A338A"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Aplicar ao Contratado as sanções previstas na lei e neste Contrato; </w:t>
      </w:r>
    </w:p>
    <w:p w14:paraId="5837ECCE"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Não praticar atos de ingerência na administração do contratado, tais como (</w:t>
      </w:r>
      <w:hyperlink r:id="rId23" w:anchor="art48" w:history="1">
        <w:r>
          <w:rPr>
            <w:rStyle w:val="Hyperlink"/>
            <w:rFonts w:asciiTheme="minorHAnsi" w:hAnsiTheme="minorHAnsi" w:cstheme="minorHAnsi"/>
            <w:sz w:val="22"/>
            <w:szCs w:val="22"/>
          </w:rPr>
          <w:t>art. 48 da Lei n.º 14.133/2021</w:t>
        </w:r>
      </w:hyperlink>
      <w:r>
        <w:rPr>
          <w:rFonts w:asciiTheme="minorHAnsi" w:hAnsiTheme="minorHAnsi" w:cstheme="minorHAnsi"/>
          <w:sz w:val="22"/>
          <w:szCs w:val="22"/>
        </w:rPr>
        <w:t>):</w:t>
      </w:r>
    </w:p>
    <w:p w14:paraId="74847319" w14:textId="77777777" w:rsidR="00404D08" w:rsidRDefault="00000000">
      <w:pPr>
        <w:pStyle w:val="Nivel2"/>
        <w:numPr>
          <w:ilvl w:val="2"/>
          <w:numId w:val="15"/>
        </w:numPr>
        <w:spacing w:afterLines="120" w:after="288" w:line="312" w:lineRule="auto"/>
        <w:ind w:left="567" w:hanging="567"/>
        <w:rPr>
          <w:rFonts w:asciiTheme="minorHAnsi" w:hAnsiTheme="minorHAnsi" w:cstheme="minorHAnsi"/>
          <w:bCs/>
          <w:sz w:val="22"/>
          <w:szCs w:val="22"/>
        </w:rPr>
      </w:pPr>
      <w:r>
        <w:rPr>
          <w:rFonts w:asciiTheme="minorHAnsi" w:hAnsiTheme="minorHAnsi" w:cstheme="minorHAnsi"/>
          <w:bCs/>
          <w:sz w:val="22"/>
          <w:szCs w:val="22"/>
        </w:rPr>
        <w:t>indicar pessoas expressamente nominadas para executar direta ou indiretamente o objeto contratado;</w:t>
      </w:r>
    </w:p>
    <w:p w14:paraId="1840853D" w14:textId="77777777" w:rsidR="00404D08" w:rsidRDefault="00000000">
      <w:pPr>
        <w:pStyle w:val="Nivel2"/>
        <w:numPr>
          <w:ilvl w:val="2"/>
          <w:numId w:val="15"/>
        </w:numPr>
        <w:spacing w:afterLines="120" w:after="288" w:line="312" w:lineRule="auto"/>
        <w:ind w:left="567" w:hanging="567"/>
        <w:rPr>
          <w:rFonts w:asciiTheme="minorHAnsi" w:hAnsiTheme="minorHAnsi" w:cstheme="minorHAnsi"/>
          <w:bCs/>
          <w:sz w:val="22"/>
          <w:szCs w:val="22"/>
        </w:rPr>
      </w:pPr>
      <w:r>
        <w:rPr>
          <w:rFonts w:asciiTheme="minorHAnsi" w:hAnsiTheme="minorHAnsi" w:cstheme="minorHAnsi"/>
          <w:bCs/>
          <w:sz w:val="22"/>
          <w:szCs w:val="22"/>
        </w:rPr>
        <w:t>fixar salário inferior ao definido em lei ou em ato normativo a ser pago pelo contratado;</w:t>
      </w:r>
    </w:p>
    <w:p w14:paraId="7E443213" w14:textId="77777777" w:rsidR="00404D08" w:rsidRDefault="00000000">
      <w:pPr>
        <w:pStyle w:val="Nivel2"/>
        <w:numPr>
          <w:ilvl w:val="2"/>
          <w:numId w:val="15"/>
        </w:numPr>
        <w:spacing w:afterLines="120" w:after="288" w:line="312" w:lineRule="auto"/>
        <w:ind w:left="567" w:hanging="567"/>
        <w:rPr>
          <w:rFonts w:asciiTheme="minorHAnsi" w:hAnsiTheme="minorHAnsi" w:cstheme="minorHAnsi"/>
          <w:bCs/>
          <w:sz w:val="22"/>
          <w:szCs w:val="22"/>
        </w:rPr>
      </w:pPr>
      <w:r>
        <w:rPr>
          <w:rFonts w:asciiTheme="minorHAnsi" w:hAnsiTheme="minorHAnsi" w:cstheme="minorHAnsi"/>
          <w:bCs/>
          <w:sz w:val="22"/>
          <w:szCs w:val="22"/>
        </w:rPr>
        <w:t xml:space="preserve"> estabelecer vínculo de subordinação com funcionário do contratado;</w:t>
      </w:r>
    </w:p>
    <w:p w14:paraId="1941F698" w14:textId="77777777" w:rsidR="00404D08" w:rsidRDefault="00000000">
      <w:pPr>
        <w:pStyle w:val="Nivel2"/>
        <w:numPr>
          <w:ilvl w:val="2"/>
          <w:numId w:val="15"/>
        </w:numPr>
        <w:spacing w:afterLines="120" w:after="288" w:line="312" w:lineRule="auto"/>
        <w:ind w:left="567" w:hanging="567"/>
        <w:rPr>
          <w:rFonts w:asciiTheme="minorHAnsi" w:hAnsiTheme="minorHAnsi" w:cstheme="minorHAnsi"/>
          <w:bCs/>
          <w:sz w:val="22"/>
          <w:szCs w:val="22"/>
        </w:rPr>
      </w:pPr>
      <w:r>
        <w:rPr>
          <w:rFonts w:asciiTheme="minorHAnsi" w:hAnsiTheme="minorHAnsi" w:cstheme="minorHAnsi"/>
          <w:bCs/>
          <w:sz w:val="22"/>
          <w:szCs w:val="22"/>
        </w:rPr>
        <w:t>definir forma de pagamento mediante exclusivo reembolso dos salários pagos;</w:t>
      </w:r>
    </w:p>
    <w:p w14:paraId="129DEA15" w14:textId="77777777" w:rsidR="00404D08" w:rsidRDefault="00000000">
      <w:pPr>
        <w:pStyle w:val="Nivel2"/>
        <w:numPr>
          <w:ilvl w:val="2"/>
          <w:numId w:val="15"/>
        </w:numPr>
        <w:spacing w:afterLines="120" w:after="288" w:line="312" w:lineRule="auto"/>
        <w:ind w:left="567" w:hanging="567"/>
        <w:rPr>
          <w:rFonts w:asciiTheme="minorHAnsi" w:hAnsiTheme="minorHAnsi" w:cstheme="minorHAnsi"/>
          <w:bCs/>
          <w:sz w:val="22"/>
          <w:szCs w:val="22"/>
        </w:rPr>
      </w:pPr>
      <w:r>
        <w:rPr>
          <w:rFonts w:asciiTheme="minorHAnsi" w:hAnsiTheme="minorHAnsi" w:cstheme="minorHAnsi"/>
          <w:bCs/>
          <w:sz w:val="22"/>
          <w:szCs w:val="22"/>
        </w:rPr>
        <w:t>demandar a funcionário do contratado a execução de tarefas fora do escopo do objeto da contratação;</w:t>
      </w:r>
    </w:p>
    <w:p w14:paraId="4F29D855" w14:textId="77777777" w:rsidR="00404D08" w:rsidRDefault="00000000">
      <w:pPr>
        <w:pStyle w:val="Nivel2"/>
        <w:numPr>
          <w:ilvl w:val="2"/>
          <w:numId w:val="15"/>
        </w:numPr>
        <w:spacing w:afterLines="120" w:after="288" w:line="312" w:lineRule="auto"/>
        <w:ind w:left="567" w:hanging="567"/>
        <w:rPr>
          <w:rFonts w:asciiTheme="minorHAnsi" w:hAnsiTheme="minorHAnsi" w:cstheme="minorHAnsi"/>
          <w:bCs/>
          <w:sz w:val="22"/>
          <w:szCs w:val="22"/>
        </w:rPr>
      </w:pPr>
      <w:r>
        <w:rPr>
          <w:rFonts w:asciiTheme="minorHAnsi" w:hAnsiTheme="minorHAnsi" w:cstheme="minorHAnsi"/>
          <w:bCs/>
          <w:sz w:val="22"/>
          <w:szCs w:val="22"/>
        </w:rPr>
        <w:t>prever exigências que constituam intervenção indevida da Administração na gestão interna do contratado.</w:t>
      </w:r>
    </w:p>
    <w:p w14:paraId="135D1145"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Cientificar o órgão de representação judicial da Advocacia-Geral da União para adoção das medidas cabíveis quando do descumprimento de obrigações pelo Contratado;</w:t>
      </w:r>
    </w:p>
    <w:p w14:paraId="746C361E"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665039F" w14:textId="77777777" w:rsidR="00404D08" w:rsidRDefault="00000000">
      <w:pPr>
        <w:pStyle w:val="Nivel3"/>
        <w:numPr>
          <w:ilvl w:val="2"/>
          <w:numId w:val="4"/>
        </w:numPr>
        <w:spacing w:afterLines="120" w:after="288" w:line="312" w:lineRule="auto"/>
        <w:ind w:hanging="567"/>
        <w:rPr>
          <w:rFonts w:asciiTheme="minorHAnsi" w:hAnsiTheme="minorHAnsi" w:cstheme="minorHAnsi"/>
          <w:b/>
          <w:bCs/>
          <w:sz w:val="22"/>
          <w:szCs w:val="22"/>
        </w:rPr>
      </w:pPr>
      <w:r>
        <w:rPr>
          <w:rFonts w:asciiTheme="minorHAnsi" w:hAnsiTheme="minorHAnsi" w:cstheme="minorHAnsi"/>
          <w:sz w:val="22"/>
          <w:szCs w:val="22"/>
        </w:rPr>
        <w:t xml:space="preserve"> </w:t>
      </w:r>
      <w:bookmarkStart w:id="2" w:name="_Ref128062899"/>
      <w:r>
        <w:rPr>
          <w:rFonts w:asciiTheme="minorHAnsi" w:hAnsiTheme="minorHAnsi" w:cstheme="minorHAnsi"/>
          <w:sz w:val="22"/>
          <w:szCs w:val="22"/>
        </w:rPr>
        <w:t>A Administração terá o prazo de</w:t>
      </w:r>
      <w:r>
        <w:rPr>
          <w:rFonts w:asciiTheme="minorHAnsi" w:hAnsiTheme="minorHAnsi" w:cstheme="minorHAnsi"/>
          <w:i/>
          <w:iCs/>
          <w:color w:val="FF0000"/>
          <w:sz w:val="22"/>
          <w:szCs w:val="22"/>
        </w:rPr>
        <w:t xml:space="preserve"> </w:t>
      </w:r>
      <w:r>
        <w:rPr>
          <w:rFonts w:asciiTheme="minorHAnsi" w:hAnsiTheme="minorHAnsi" w:cstheme="minorHAnsi"/>
          <w:color w:val="auto"/>
          <w:sz w:val="22"/>
          <w:szCs w:val="22"/>
        </w:rPr>
        <w:t>30 (trinta)</w:t>
      </w:r>
      <w:r>
        <w:rPr>
          <w:rFonts w:asciiTheme="minorHAnsi" w:hAnsiTheme="minorHAnsi" w:cstheme="minorHAnsi"/>
          <w:sz w:val="22"/>
          <w:szCs w:val="22"/>
        </w:rPr>
        <w:t xml:space="preserve">, a contar da data do protocolo do requerimento para decidir, admitida a prorrogação motivada, por igual período. </w:t>
      </w:r>
      <w:bookmarkEnd w:id="2"/>
    </w:p>
    <w:p w14:paraId="1C48EC2A" w14:textId="77777777" w:rsidR="00404D08" w:rsidRDefault="00000000">
      <w:pPr>
        <w:pStyle w:val="Nivel2"/>
        <w:numPr>
          <w:ilvl w:val="1"/>
          <w:numId w:val="4"/>
        </w:numPr>
        <w:spacing w:afterLines="120" w:after="288" w:line="312" w:lineRule="auto"/>
        <w:ind w:left="567" w:hanging="567"/>
        <w:rPr>
          <w:rFonts w:asciiTheme="minorHAnsi" w:hAnsiTheme="minorHAnsi" w:cstheme="minorHAnsi"/>
          <w:color w:val="FF0000"/>
          <w:sz w:val="22"/>
          <w:szCs w:val="22"/>
        </w:rPr>
      </w:pPr>
      <w:r>
        <w:rPr>
          <w:rFonts w:asciiTheme="minorHAnsi" w:hAnsiTheme="minorHAnsi" w:cstheme="minorHAnsi"/>
          <w:sz w:val="22"/>
          <w:szCs w:val="22"/>
        </w:rPr>
        <w:t>Responder eventuais pedidos de reestabelecimento do equilíbrio econômico-financeiro feitos pelo contratado no prazo máximo de 30 (trinta) dias</w:t>
      </w:r>
      <w:r>
        <w:rPr>
          <w:rFonts w:asciiTheme="minorHAnsi" w:hAnsiTheme="minorHAnsi" w:cstheme="minorHAnsi"/>
          <w:color w:val="FF0000"/>
          <w:sz w:val="22"/>
          <w:szCs w:val="22"/>
        </w:rPr>
        <w:t>.</w:t>
      </w:r>
    </w:p>
    <w:p w14:paraId="3498D569" w14:textId="77777777" w:rsidR="00404D08" w:rsidRDefault="00000000">
      <w:pPr>
        <w:pStyle w:val="Nvel2-Red"/>
        <w:numPr>
          <w:ilvl w:val="1"/>
          <w:numId w:val="4"/>
        </w:numPr>
        <w:spacing w:afterLines="120" w:after="288" w:line="312" w:lineRule="auto"/>
        <w:ind w:left="567" w:hanging="567"/>
        <w:rPr>
          <w:rFonts w:asciiTheme="minorHAnsi" w:hAnsiTheme="minorHAnsi" w:cstheme="minorHAnsi"/>
          <w:i w:val="0"/>
          <w:color w:val="auto"/>
          <w:sz w:val="22"/>
          <w:szCs w:val="22"/>
        </w:rPr>
      </w:pPr>
      <w:bookmarkStart w:id="3" w:name="_Hlk114499841"/>
      <w:bookmarkEnd w:id="3"/>
      <w:r>
        <w:rPr>
          <w:rFonts w:asciiTheme="minorHAnsi" w:hAnsiTheme="minorHAnsi" w:cstheme="minorHAnsi"/>
          <w:i w:val="0"/>
          <w:color w:val="auto"/>
          <w:sz w:val="22"/>
          <w:szCs w:val="22"/>
        </w:rPr>
        <w:t>Notificar os emitentes das garantias quanto ao início de processo administrativo para apuração de descumprimento de cláusulas contratuais (</w:t>
      </w:r>
      <w:hyperlink r:id="rId24" w:anchor="art137§4" w:history="1">
        <w:r>
          <w:rPr>
            <w:rStyle w:val="Hyperlink"/>
            <w:rFonts w:asciiTheme="minorHAnsi" w:hAnsiTheme="minorHAnsi" w:cstheme="minorHAnsi"/>
            <w:sz w:val="22"/>
            <w:szCs w:val="22"/>
          </w:rPr>
          <w:t>§4º, do art. 137, da Lei nº 14.133, de 2021</w:t>
        </w:r>
      </w:hyperlink>
      <w:r>
        <w:rPr>
          <w:rFonts w:asciiTheme="minorHAnsi" w:hAnsiTheme="minorHAnsi" w:cstheme="minorHAnsi"/>
          <w:i w:val="0"/>
          <w:color w:val="auto"/>
          <w:sz w:val="22"/>
          <w:szCs w:val="22"/>
        </w:rPr>
        <w:t xml:space="preserve">). </w:t>
      </w:r>
    </w:p>
    <w:p w14:paraId="663FE1ED"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Comunicar o Contratado na hipótese de posterior alteração do projeto pelo Contratante, no caso </w:t>
      </w:r>
      <w:hyperlink r:id="rId25" w:anchor="art93§2" w:history="1">
        <w:r>
          <w:rPr>
            <w:rStyle w:val="Hyperlink"/>
            <w:rFonts w:asciiTheme="minorHAnsi" w:hAnsiTheme="minorHAnsi" w:cstheme="minorHAnsi"/>
            <w:sz w:val="22"/>
            <w:szCs w:val="22"/>
          </w:rPr>
          <w:t>do art. 93, §2º, da Lei nº 14.133, de 2021</w:t>
        </w:r>
      </w:hyperlink>
      <w:r>
        <w:rPr>
          <w:rFonts w:asciiTheme="minorHAnsi" w:hAnsiTheme="minorHAnsi" w:cstheme="minorHAnsi"/>
          <w:sz w:val="22"/>
          <w:szCs w:val="22"/>
        </w:rPr>
        <w:t>.</w:t>
      </w:r>
    </w:p>
    <w:p w14:paraId="3BCB378F"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E1F4974" w14:textId="77777777" w:rsidR="00404D08" w:rsidRDefault="00404D08">
      <w:pPr>
        <w:pStyle w:val="Nivel2"/>
        <w:numPr>
          <w:ilvl w:val="0"/>
          <w:numId w:val="0"/>
        </w:numPr>
        <w:spacing w:afterLines="120" w:after="288" w:line="312" w:lineRule="auto"/>
        <w:ind w:left="567"/>
        <w:rPr>
          <w:rFonts w:asciiTheme="minorHAnsi" w:hAnsiTheme="minorHAnsi" w:cstheme="minorHAnsi"/>
          <w:sz w:val="22"/>
          <w:szCs w:val="22"/>
        </w:rPr>
      </w:pPr>
    </w:p>
    <w:p w14:paraId="1151E58C" w14:textId="77777777" w:rsidR="00404D08" w:rsidRDefault="00000000">
      <w:pPr>
        <w:pStyle w:val="Nivel01"/>
        <w:tabs>
          <w:tab w:val="clear" w:pos="360"/>
        </w:tabs>
        <w:spacing w:afterLines="120" w:after="288" w:line="312" w:lineRule="auto"/>
        <w:rPr>
          <w:rFonts w:asciiTheme="minorHAnsi" w:hAnsiTheme="minorHAnsi" w:cstheme="minorHAnsi"/>
          <w:sz w:val="22"/>
          <w:szCs w:val="22"/>
        </w:rPr>
      </w:pPr>
      <w:r>
        <w:rPr>
          <w:rFonts w:asciiTheme="minorHAnsi" w:hAnsiTheme="minorHAnsi" w:cstheme="minorHAnsi"/>
          <w:sz w:val="22"/>
          <w:szCs w:val="22"/>
        </w:rPr>
        <w:t>CLÁUSULA NONA - OBRIGAÇÕES DO CONTRATADO (</w:t>
      </w:r>
      <w:hyperlink r:id="rId26" w:anchor="art92" w:history="1">
        <w:r>
          <w:rPr>
            <w:rStyle w:val="Hyperlink"/>
            <w:rFonts w:asciiTheme="minorHAnsi" w:hAnsiTheme="minorHAnsi" w:cstheme="minorHAnsi"/>
            <w:sz w:val="22"/>
            <w:szCs w:val="22"/>
          </w:rPr>
          <w:t>art. 92, XIV, XVI e XVII</w:t>
        </w:r>
      </w:hyperlink>
      <w:r>
        <w:rPr>
          <w:rFonts w:asciiTheme="minorHAnsi" w:hAnsiTheme="minorHAnsi" w:cstheme="minorHAnsi"/>
          <w:sz w:val="22"/>
          <w:szCs w:val="22"/>
        </w:rPr>
        <w:t>)</w:t>
      </w:r>
    </w:p>
    <w:p w14:paraId="0DDFEFD3"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63001B76"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Manter preposto aceito pela Administração no local da obra ou do serviço para representá-lo na execução do contrato.</w:t>
      </w:r>
    </w:p>
    <w:p w14:paraId="162A6559"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Theme="minorHAnsi" w:hAnsiTheme="minorHAnsi" w:cstheme="minorHAnsi"/>
          <w:sz w:val="22"/>
          <w:szCs w:val="22"/>
        </w:rPr>
        <w:t>A indicação ou a manutenção do preposto da empresa poderá ser recusada pelo órgão ou entidade, desde que devidamente justificada, devendo a empresa designar outro para o exercício da atividade.</w:t>
      </w:r>
    </w:p>
    <w:p w14:paraId="737EB4E3"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Atender às determinações regulares emitidas pelo fiscal do contrato ou autoridade superior (</w:t>
      </w:r>
      <w:hyperlink r:id="rId27" w:anchor="art137" w:history="1">
        <w:r>
          <w:rPr>
            <w:rStyle w:val="Hyperlink"/>
            <w:rFonts w:asciiTheme="minorHAnsi" w:hAnsiTheme="minorHAnsi" w:cstheme="minorHAnsi"/>
            <w:sz w:val="22"/>
            <w:szCs w:val="22"/>
          </w:rPr>
          <w:t>art. 137, II</w:t>
        </w:r>
      </w:hyperlink>
      <w:r>
        <w:rPr>
          <w:rFonts w:asciiTheme="minorHAnsi" w:hAnsiTheme="minorHAnsi" w:cstheme="minorHAnsi"/>
          <w:sz w:val="22"/>
          <w:szCs w:val="22"/>
        </w:rPr>
        <w:t>);</w:t>
      </w:r>
    </w:p>
    <w:p w14:paraId="5EEE5316"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7F65F1C"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1ABB97F"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Responsabilizar-se pelos vícios e danos decorrentes da execução do objeto, de acordo com o </w:t>
      </w:r>
      <w:hyperlink r:id="rId28" w:history="1">
        <w:r>
          <w:rPr>
            <w:rStyle w:val="Hyperlink"/>
            <w:rFonts w:asciiTheme="minorHAnsi" w:hAnsiTheme="minorHAnsi" w:cstheme="minorHAnsi"/>
            <w:sz w:val="22"/>
            <w:szCs w:val="22"/>
          </w:rPr>
          <w:t>Código de Defesa do Consumidor (Lei nº 8.078, de 1990</w:t>
        </w:r>
      </w:hyperlink>
      <w:r>
        <w:rPr>
          <w:rFonts w:asciiTheme="minorHAnsi" w:hAnsiTheme="minorHAnsi" w:cstheme="minorHAnsi"/>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3F80E95"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w:t>
      </w:r>
      <w:hyperlink r:id="rId29" w:anchor="art48" w:history="1">
        <w:r>
          <w:rPr>
            <w:rStyle w:val="Hyperlink"/>
            <w:rFonts w:asciiTheme="minorHAnsi" w:hAnsiTheme="minorHAnsi" w:cstheme="minorHAnsi"/>
            <w:sz w:val="22"/>
            <w:szCs w:val="22"/>
          </w:rPr>
          <w:t>artigo 48, parágrafo único, da Lei nº 14.133, de 2021</w:t>
        </w:r>
      </w:hyperlink>
      <w:r>
        <w:rPr>
          <w:rFonts w:asciiTheme="minorHAnsi" w:hAnsiTheme="minorHAnsi" w:cstheme="minorHAnsi"/>
          <w:sz w:val="22"/>
          <w:szCs w:val="22"/>
        </w:rPr>
        <w:t>;</w:t>
      </w:r>
    </w:p>
    <w:p w14:paraId="0E5454FB"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lastRenderedPageBreak/>
        <w:t>Vedar a utilização, na execução dos serviços, de empregado que seja familiar de agente público ocupante de cargo em comissão ou função de confiança no órgão contratante, nos termos do artigo 7° do Decreto n° 7.203, de 2010;</w:t>
      </w:r>
    </w:p>
    <w:p w14:paraId="544CD58F"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color w:val="000000" w:themeColor="text1"/>
          <w:sz w:val="22"/>
          <w:szCs w:val="22"/>
        </w:rPr>
        <w:t xml:space="preserve">Quando não for possível a verificação da regularidade no Sistema de Cadastro </w:t>
      </w:r>
      <w:r>
        <w:rPr>
          <w:rFonts w:asciiTheme="minorHAnsi" w:hAnsiTheme="minorHAnsi" w:cstheme="minorHAnsi"/>
          <w:sz w:val="22"/>
          <w:szCs w:val="22"/>
        </w:rPr>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22A9A784"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18C4140"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Comunicar ao Fiscal do contrato, no prazo de 24 (vinte e quatro) horas, qualquer ocorrência anormal ou acidente que se verifique no local dos serviços.</w:t>
      </w:r>
    </w:p>
    <w:p w14:paraId="5CB02D55"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Prestar todo esclarecimento ou informação solicitada pelo Contratante ou por seus prepostos, garantindo-lhes o acesso, a qualquer tempo, ao local dos trabalhos, bem como aos documentos relativos à execução do empreendimento.</w:t>
      </w:r>
    </w:p>
    <w:p w14:paraId="6DC80419"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Paralisar, por determinação do Contratante, qualquer atividade que não esteja sendo executada de acordo com a boa técnica ou que ponha em risco a segurança de pessoas ou bens de terceiros.</w:t>
      </w:r>
    </w:p>
    <w:p w14:paraId="2D521457"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Promover a guarda, manutenção e vigilância de materiais, ferramentas, e tudo o que for necessário à execução do objeto, durante a vigência do contrato.</w:t>
      </w:r>
    </w:p>
    <w:p w14:paraId="40E31EC1"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641FA116"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Submeter previamente, por escrito, ao Contratante, para análise e aprovação, quaisquer mudanças nos métodos executivos que fujam às especificações do memorial descritivo ou instrumento congênere.</w:t>
      </w:r>
    </w:p>
    <w:p w14:paraId="2C73B411"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6DCFB94E"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lastRenderedPageBreak/>
        <w:t xml:space="preserve"> Manter durante toda a vigência do contrato, em compatibilidade com as obrigações assumidas, todas as condições exigidas para habilitação na licitação; </w:t>
      </w:r>
    </w:p>
    <w:p w14:paraId="5504C9F7" w14:textId="77777777" w:rsidR="00404D08" w:rsidRDefault="00000000">
      <w:pPr>
        <w:pStyle w:val="Nivel2"/>
        <w:numPr>
          <w:ilvl w:val="1"/>
          <w:numId w:val="4"/>
        </w:numPr>
        <w:spacing w:afterLines="120" w:after="288" w:line="312" w:lineRule="auto"/>
        <w:ind w:left="567" w:hanging="567"/>
        <w:rPr>
          <w:rFonts w:asciiTheme="minorHAnsi" w:hAnsiTheme="minorHAnsi" w:cstheme="minorHAnsi"/>
          <w:b/>
          <w:bCs/>
          <w:sz w:val="22"/>
          <w:szCs w:val="22"/>
        </w:rPr>
      </w:pPr>
      <w:r>
        <w:rPr>
          <w:rFonts w:asciiTheme="minorHAnsi" w:hAnsiTheme="minorHAnsi" w:cstheme="minorHAnsi"/>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30" w:anchor="art116" w:history="1">
        <w:r>
          <w:rPr>
            <w:rStyle w:val="Hyperlink"/>
            <w:rFonts w:asciiTheme="minorHAnsi" w:hAnsiTheme="minorHAnsi" w:cstheme="minorHAnsi"/>
            <w:sz w:val="22"/>
            <w:szCs w:val="22"/>
          </w:rPr>
          <w:t>art. 116</w:t>
        </w:r>
      </w:hyperlink>
      <w:r>
        <w:rPr>
          <w:rFonts w:asciiTheme="minorHAnsi" w:hAnsiTheme="minorHAnsi" w:cstheme="minorHAnsi"/>
          <w:sz w:val="22"/>
          <w:szCs w:val="22"/>
        </w:rPr>
        <w:t>);</w:t>
      </w:r>
    </w:p>
    <w:p w14:paraId="33C4E079"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Comprovar a reserva de cargos a que se refere a cláusula acima, no prazo fixado pelo fiscal do contrato, com a indicação dos empregados que preencheram as referidas vagas (</w:t>
      </w:r>
      <w:hyperlink r:id="rId31" w:anchor="art116" w:history="1">
        <w:r>
          <w:rPr>
            <w:rStyle w:val="Hyperlink"/>
            <w:rFonts w:asciiTheme="minorHAnsi" w:hAnsiTheme="minorHAnsi" w:cstheme="minorHAnsi"/>
            <w:sz w:val="22"/>
            <w:szCs w:val="22"/>
          </w:rPr>
          <w:t>art. 116, parágrafo único</w:t>
        </w:r>
      </w:hyperlink>
      <w:r>
        <w:rPr>
          <w:rFonts w:asciiTheme="minorHAnsi" w:hAnsiTheme="minorHAnsi" w:cstheme="minorHAnsi"/>
          <w:sz w:val="22"/>
          <w:szCs w:val="22"/>
        </w:rPr>
        <w:t>);</w:t>
      </w:r>
    </w:p>
    <w:p w14:paraId="22E45056"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Guardar sigilo sobre todas as informações obtidas em decorrência do cumprimento do contrato;</w:t>
      </w:r>
    </w:p>
    <w:p w14:paraId="2BEAA692"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2" w:anchor="art124" w:history="1">
        <w:r>
          <w:rPr>
            <w:rStyle w:val="Hyperlink"/>
            <w:rFonts w:asciiTheme="minorHAnsi" w:hAnsiTheme="minorHAnsi" w:cstheme="minorHAnsi"/>
            <w:sz w:val="22"/>
            <w:szCs w:val="22"/>
          </w:rPr>
          <w:t>art. 124, II, d, da Lei nº 14.133, de 2021</w:t>
        </w:r>
      </w:hyperlink>
      <w:r>
        <w:rPr>
          <w:rFonts w:asciiTheme="minorHAnsi" w:hAnsiTheme="minorHAnsi" w:cstheme="minorHAnsi"/>
          <w:sz w:val="22"/>
          <w:szCs w:val="22"/>
        </w:rPr>
        <w:t>;</w:t>
      </w:r>
    </w:p>
    <w:p w14:paraId="6404F2C6"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Cumprir, além dos postulados legais vigentes de âmbito federal, estadual ou municipal, as normas de segurança do Contratante;</w:t>
      </w:r>
    </w:p>
    <w:p w14:paraId="2CE27790"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Assegurar aos seus trabalhadores ambiente de trabalho, inclusive equipamentos e instalações, em condições adequadas ao cumprimento das normas de saúde, segurança e bem-estar no trabalho;</w:t>
      </w:r>
    </w:p>
    <w:p w14:paraId="07119CCB"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Garantir o acesso do contratante, a qualquer tempo, ao local dos trabalhos, bem como aos documentos relativos à execução do empreendimento;</w:t>
      </w:r>
    </w:p>
    <w:p w14:paraId="49B8C42E"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Promover a organização técnica e administrativa dos serviços, de modo a conduzi-los eficaz e eficientemente, de acordo com os documentos e especificações que integram o Termo de Referência, no prazo determinado;</w:t>
      </w:r>
    </w:p>
    <w:p w14:paraId="504AE789"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64A14FE7"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Disponibilizar ao contratante os empregados devidamente uniformizados e identificados por meio de crachá, além de provê-los com os Equipamentos de Proteção Individual - EPI, quando for o caso;</w:t>
      </w:r>
    </w:p>
    <w:p w14:paraId="1B8348A8"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Fornecer os uniformes a serem utilizados por seus empregados, conforme disposto no Termo de Referência, sem repassar quaisquer custos a estes;</w:t>
      </w:r>
    </w:p>
    <w:p w14:paraId="1687128D"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lastRenderedPageBreak/>
        <w:t>Apresentar relação mensal dos empregados que expressamente optarem por não receber o vale-transporte;</w:t>
      </w:r>
    </w:p>
    <w:p w14:paraId="56DF6391"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contratado deverá apresentar justificativa, a fim de que a Administração analise sua plausibilidade e possa verificar a realização do pagamento.</w:t>
      </w:r>
    </w:p>
    <w:p w14:paraId="52FBA24B"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1A8DF150"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Não permitir que o empregado designado para trabalhar em um turno preste seus serviços no turno imediatamente subsequente;</w:t>
      </w:r>
    </w:p>
    <w:p w14:paraId="526F4A46"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14:paraId="128152D3"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Instruir seus empregados quanto à necessidade de acatar as normas internas da Administração;</w:t>
      </w:r>
    </w:p>
    <w:p w14:paraId="065311A4"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3BD881C4"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Instruir seus empregados, no início da execução contratual, quanto à obtenção das informações de seus interesses junto aos órgãos públicos, relativas ao contrato de trabalho e obrigações a ele inerentes, adotando, entre outras, as seguintes medidas:</w:t>
      </w:r>
    </w:p>
    <w:p w14:paraId="7BF71716"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513DB3DB"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Viabilizar a emissão do cartão cidadão pela Caixa Econômica Federal para todos os empregados, no prazo máximo de 60 (sessenta) dias, contados do início da prestação dos serviços ou da admissão do empregado;</w:t>
      </w:r>
    </w:p>
    <w:p w14:paraId="4729C4FB"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lastRenderedPageBreak/>
        <w:t xml:space="preserve"> Oferecer todos os meios necessários aos seus empregados para a obtenção de extratos de recolhimentos de seus direitos sociais, preferencialmente por meio eletrônico, quando disponível.</w:t>
      </w:r>
    </w:p>
    <w:p w14:paraId="2876A4A8" w14:textId="77777777" w:rsidR="00404D08" w:rsidRDefault="00000000">
      <w:pPr>
        <w:pStyle w:val="Nivel2"/>
        <w:numPr>
          <w:ilvl w:val="1"/>
          <w:numId w:val="4"/>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Não se beneficiar da condição de optante pelo Simples Nacional, salvo quando se tratar das exceções previstas no </w:t>
      </w:r>
      <w:hyperlink r:id="rId33" w:anchor="art18§5" w:history="1">
        <w:r>
          <w:rPr>
            <w:rStyle w:val="Hyperlink"/>
            <w:rFonts w:asciiTheme="minorHAnsi" w:hAnsiTheme="minorHAnsi" w:cstheme="minorHAnsi"/>
            <w:sz w:val="22"/>
            <w:szCs w:val="22"/>
          </w:rPr>
          <w:t>§ 5º-C do art. 18 da Lei Complementar nº 123, de 14 de dezembro de 2006</w:t>
        </w:r>
      </w:hyperlink>
      <w:r>
        <w:rPr>
          <w:rFonts w:asciiTheme="minorHAnsi" w:hAnsiTheme="minorHAnsi" w:cstheme="minorHAnsi"/>
          <w:sz w:val="22"/>
          <w:szCs w:val="22"/>
        </w:rPr>
        <w:t xml:space="preserve">; </w:t>
      </w:r>
    </w:p>
    <w:p w14:paraId="6A9781D8"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Theme="minorHAnsi" w:hAnsiTheme="minorHAnsi" w:cstheme="minorHAnsi"/>
          <w:sz w:val="22"/>
          <w:szCs w:val="22"/>
        </w:rPr>
        <w:t xml:space="preserve">Comunicar formalmente à Receita Federal a assinatura do contrato de prestação de serviços mediante cessão de mão de obra, para fins de exclusão obrigatória do Simples Nacional, a contar do mês seguinte ao da contratação, conforme previsão do </w:t>
      </w:r>
      <w:hyperlink r:id="rId34" w:anchor="art17" w:history="1">
        <w:r>
          <w:rPr>
            <w:rStyle w:val="Hyperlink"/>
            <w:rFonts w:asciiTheme="minorHAnsi" w:hAnsiTheme="minorHAnsi" w:cstheme="minorHAnsi"/>
            <w:sz w:val="22"/>
            <w:szCs w:val="22"/>
          </w:rPr>
          <w:t>art.17, XII</w:t>
        </w:r>
      </w:hyperlink>
      <w:r>
        <w:rPr>
          <w:rFonts w:asciiTheme="minorHAnsi" w:hAnsiTheme="minorHAnsi" w:cstheme="minorHAnsi"/>
          <w:sz w:val="22"/>
          <w:szCs w:val="22"/>
        </w:rPr>
        <w:t xml:space="preserve">, </w:t>
      </w:r>
      <w:hyperlink r:id="rId35" w:anchor="art30§1" w:history="1">
        <w:r>
          <w:rPr>
            <w:rStyle w:val="Hyperlink"/>
            <w:rFonts w:asciiTheme="minorHAnsi" w:hAnsiTheme="minorHAnsi" w:cstheme="minorHAnsi"/>
            <w:sz w:val="22"/>
            <w:szCs w:val="22"/>
          </w:rPr>
          <w:t>art. 30, §1º, II</w:t>
        </w:r>
      </w:hyperlink>
      <w:r>
        <w:rPr>
          <w:rFonts w:asciiTheme="minorHAnsi" w:hAnsiTheme="minorHAnsi" w:cstheme="minorHAnsi"/>
          <w:sz w:val="22"/>
          <w:szCs w:val="22"/>
        </w:rPr>
        <w:t xml:space="preserve">, e do </w:t>
      </w:r>
      <w:hyperlink r:id="rId36" w:anchor="art31" w:history="1">
        <w:r>
          <w:rPr>
            <w:rStyle w:val="Hyperlink"/>
            <w:rFonts w:asciiTheme="minorHAnsi" w:hAnsiTheme="minorHAnsi" w:cstheme="minorHAnsi"/>
            <w:sz w:val="22"/>
            <w:szCs w:val="22"/>
          </w:rPr>
          <w:t>art. 31, II</w:t>
        </w:r>
      </w:hyperlink>
      <w:r>
        <w:rPr>
          <w:rFonts w:asciiTheme="minorHAnsi" w:hAnsiTheme="minorHAnsi" w:cstheme="minorHAnsi"/>
          <w:sz w:val="22"/>
          <w:szCs w:val="22"/>
        </w:rPr>
        <w:t xml:space="preserve">, todos da Lei Complementar nº 123/2006, salvo quando se tratar das exceções previstas no </w:t>
      </w:r>
      <w:hyperlink r:id="rId37" w:anchor="art18§5" w:history="1">
        <w:r>
          <w:rPr>
            <w:rStyle w:val="Hyperlink"/>
            <w:rFonts w:asciiTheme="minorHAnsi" w:hAnsiTheme="minorHAnsi" w:cstheme="minorHAnsi"/>
            <w:sz w:val="22"/>
            <w:szCs w:val="22"/>
          </w:rPr>
          <w:t>§ 5º-C do art. 18</w:t>
        </w:r>
      </w:hyperlink>
      <w:r>
        <w:rPr>
          <w:rFonts w:asciiTheme="minorHAnsi" w:hAnsiTheme="minorHAnsi" w:cstheme="minorHAnsi"/>
          <w:sz w:val="22"/>
          <w:szCs w:val="22"/>
        </w:rPr>
        <w:t xml:space="preserve"> do mesmo diploma legal;</w:t>
      </w:r>
    </w:p>
    <w:p w14:paraId="515D19E1"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Theme="minorHAnsi" w:hAnsiTheme="minorHAnsi" w:cstheme="minorHAnsi"/>
          <w:sz w:val="22"/>
          <w:szCs w:val="22"/>
        </w:rPr>
        <w:t>Para efeito de comprovação da comunicação, a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7BB6A17B"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Manter os empregados, quando em horário de trabalho, ou ainda, nas dependências da CONTRATANTE, devidamente uniformizados e identificados mediante uso permanente de crachá, com foto e nome visível, a ser fornecido pela CONTRATADA;</w:t>
      </w:r>
    </w:p>
    <w:p w14:paraId="285DD63C"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Identificar todos os equipamentos de sua propriedade, de forma a não serem confundidos com similares de propriedade da Contratante ou de outra Contratada;</w:t>
      </w:r>
    </w:p>
    <w:p w14:paraId="32F07AAA"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Proceder ao atendimento extraordinário, em caso de necessidade, respeitada a legislação trabalhista. Na ocorrência de estado de greve da categoria, a Contratada fica obrigada a prestação do serviço, através de esquema de emergência;</w:t>
      </w:r>
    </w:p>
    <w:p w14:paraId="4E9E8E72"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A CONTRATADA deverá controlar a frequência de seus profissionais nas dependências da CONTRATANTE, estabelecendo, de comum acordo com esta, os instrumentos ou modalidades de controle.</w:t>
      </w:r>
    </w:p>
    <w:p w14:paraId="33CB7837"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Fica vedado a Contratada permitir aos seus empregados, fazerem-se acompanhar por terceiros nos veículos da Contratante, sem expressa autorização desta. A comprovada inobservância face à mencionada proibição, facultará a aplicação das medidas legais cabíveis;</w:t>
      </w:r>
    </w:p>
    <w:p w14:paraId="1FCFB6CA"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Proibir a utilização dos telefones instalados na CONTRATANTE, sob a responsabilidade da CONTRATADA, para ligações interurbanas, bem como para tratar de assuntos alheios ao serviço;</w:t>
      </w:r>
    </w:p>
    <w:p w14:paraId="7EA430EE"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lastRenderedPageBreak/>
        <w:t>Substituir imediatamente o empregado por motivo de falta ao serviço, afastamentos legais ou quando solicitado pela CONTRATANTE;</w:t>
      </w:r>
    </w:p>
    <w:p w14:paraId="7BF61A96"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Responsabilizar-se pelo transporte de seus empregados, por meios próprios ou mediante fornecimento de vale transporte, para a cobertura do trajeto residência/trabalho e vice versa (inclusive em casos de paralisação de transportes coletivos);</w:t>
      </w:r>
    </w:p>
    <w:p w14:paraId="2B66DDB6"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Assumir todas as responsabilidades e tomar as medidas necessárias ao atendimento dos seus funcionários acidentados ou com mal súbito;</w:t>
      </w:r>
    </w:p>
    <w:p w14:paraId="24545447"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Caso a Contratada opte pelo fornecimento de vales transportes, a entrega deverá ocorrer de uma só vez, até o 5º (quinto) dia do mês anterior ao de referência, com previsão para todos os dias a serem trabalhados no mês de referência;</w:t>
      </w:r>
    </w:p>
    <w:p w14:paraId="5231F45E"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Fornecer, de uma só vez, até o 1º (primeiro) dia útil de cada mês, a todos os ocupantes de postos de serviços, vale alimentação ou auxílio-alimentação integral para os dias trabalhados no mês;</w:t>
      </w:r>
    </w:p>
    <w:p w14:paraId="6178AC6A"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Fornecer até o 5º dia útil do mês em referência: transporte (de sua propriedade ou locado) ou vale-transporte integral correspondente aos dias trabalhados no mês;</w:t>
      </w:r>
    </w:p>
    <w:p w14:paraId="6D7B386B"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Conceder férias aos seus funcionários dentro do período concessivo, sob pena de rescisão contratual, informando mensalmente à Contratante os nomes dos funcionários em férias;</w:t>
      </w:r>
    </w:p>
    <w:p w14:paraId="2B305FE0"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Cumprir rigorosamente em dia todas as obrigações trabalhistas, tributárias, sociais, previdenciárias e as demais previstas em legislação específica oriundas da pretendida contratação. A inadimplência do contratado com referência aos encargos trabalhistas, fiscais e comerciais não transferem à Administração Pública a responsabilidade por seu pagamento, nem poderá onerar o objeto do contrato;</w:t>
      </w:r>
    </w:p>
    <w:p w14:paraId="79DAE9B7"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Fornecer aos funcionários, materiais e equipamentos de segurança do trabalho, conforme legislação vigente;</w:t>
      </w:r>
    </w:p>
    <w:p w14:paraId="5E450D69"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A contratada não poderá repassar os custos de qualquer um dos itens de uniforme, materiais e equipamentos a seus empregados;</w:t>
      </w:r>
    </w:p>
    <w:p w14:paraId="1A205FC5"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Assegurar que os serviços sejam prestados por profissionais treinados e capacitados e que, os mesmos não terão nenhum vínculo empregatício com a CONTRATANTE;</w:t>
      </w:r>
    </w:p>
    <w:p w14:paraId="6706CE3F"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Orientar os seus empregados nos seguintes pontos:</w:t>
      </w:r>
    </w:p>
    <w:p w14:paraId="0B23443F"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lastRenderedPageBreak/>
        <w:t>apresentar-se diariamente ao local de trabalho de maneira asseada, mantendo os cabelos curtos, barba feita, higiene corporal e com uniforme limpo e completo;</w:t>
      </w:r>
    </w:p>
    <w:p w14:paraId="62FDD3F1"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instruir os seus empregados a não receber e guardar quaisquer objetos, materiais, documentos e outros em seus postos de trabalho.</w:t>
      </w:r>
    </w:p>
    <w:p w14:paraId="3EB8A116"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conversar com o(s) funcionário(s) da CONTRATANTE somente se solicitado, ou em casos de extrema necessidade, respondendo-lhe(s) de forma objetiva e educada, principalmente em se tratando de autoridades;</w:t>
      </w:r>
    </w:p>
    <w:p w14:paraId="4C08AF58"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Efetuar a reposição da mão de obra nos Postos, em caráter imediato, em eventual ausência, não sendo permitida a prorrogação de jornada de trabalho (dobra);</w:t>
      </w:r>
    </w:p>
    <w:p w14:paraId="043BA175"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Atender de imediato às solicitações quanto às substituições da mão de obra, desqualificada ou entendida como inadequada para a prestação dos serviços;</w:t>
      </w:r>
    </w:p>
    <w:p w14:paraId="7EADBAD9"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Treinar ou promover treinamentos, às suas expensas, para os empregados que executarão os serviços contratados;</w:t>
      </w:r>
    </w:p>
    <w:p w14:paraId="69E6239F"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Fornecer uniformes e seus complementos à mão de obra envolvida, de acordo com o especificado no Anexo II-C e com o disposto no respectivo Acordo, Convenção ou Dissídio Coletivo de Trabalho, substituindo-os de acordo com o previsto nesses termos ou quando desgastados e solicitado pela Fiscalização;</w:t>
      </w:r>
    </w:p>
    <w:p w14:paraId="3CF1704A"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Apresentar recibo da entrega dos uniformes devidamente assinados pelos funcionários;</w:t>
      </w:r>
    </w:p>
    <w:p w14:paraId="156DA572"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Prever toda a mão de obra necessária para garantir a operação dos Postos, nos regimes contratados, sem interrupção seja por motivo de férias, descanso semanal, licença, falta ao serviço, demissão e outros análogos, obedecidas as disposições da legislação trabalhista vigente;</w:t>
      </w:r>
    </w:p>
    <w:p w14:paraId="2A70C2BC"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Manter disponibilidade de efetivo dentro dos padrões desejados, para atender eventuais acréscimos solicitados pela CONTRATANTE, bem como impedir que a mão de obra que cometer falta disciplinar qualificada, como de natureza grave, seja mantida ou retorne às instalações da CONTRATANTE;</w:t>
      </w:r>
    </w:p>
    <w:p w14:paraId="42EB623D"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Responsabilizar-se pelo fiel cumprimento das atribuições dos seus empregados;</w:t>
      </w:r>
    </w:p>
    <w:p w14:paraId="5B24A3FD"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Instruir seus empregados e prepostos a se adaptarem às normas disciplinares, regimentais e de segurança da CONTRATANTE sem, contudo, manter qualquer vínculo empregatício com a CONTRATANTE;</w:t>
      </w:r>
    </w:p>
    <w:p w14:paraId="27B3F4FB"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lastRenderedPageBreak/>
        <w:t>Instruir seus empregados quanto à necessidade de acatar as orientações do preposto da CONTRATANTE, inclusive quanto ao cumprimento das Normas Internas e de Segurança e Medicina do Trabalho;</w:t>
      </w:r>
    </w:p>
    <w:p w14:paraId="3DCA1361"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Observar aos seus funcionários a terminante proibição de permanecer nas dependências da Contratante após o horário de trabalho; coibir que transitem em trajes menores; fazer compra ou transportar volumes a pedido de qualquer pessoa; organizar jogos de qualquer espécie, bem como a venda de objetos e gêneros alimentícios;</w:t>
      </w:r>
    </w:p>
    <w:p w14:paraId="0C56540C"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Responsabilizar-se por quaisquer acidentes com os seus empregados em serviço, por tudo quanto às leis trabalhistas e previdenciárias lhes assegurem e demais exigências legais para o exercício da atividade;</w:t>
      </w:r>
    </w:p>
    <w:p w14:paraId="66E301BC"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Responsabilizar-se por todos os danos ou prejuízos, físicos ou materiais, causados à CONTRATANTE ou a terceiros, advindos de imperícia, negligência, imprudência ou desrespeito de seus empregados às normas de conduta e segurança, quando da execução dos serviços, cuja despesa será descontada das faturas seguintes da contratada ou ajuizada a dívida, se for o caso, sem prejuízo das demais sanções legais;</w:t>
      </w:r>
    </w:p>
    <w:p w14:paraId="2DC67E09"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Responsabilizar-se civil e penalmente pelos danos causados diretamente à Contratante ou a terceiros decorrentes de sua culpa ou dolo na execução do contrato, não obstante a fiscalização da Contratante em seu acompanhamento;</w:t>
      </w:r>
    </w:p>
    <w:p w14:paraId="32DDF8F6"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Repor, por substituição ou ressarcimento pecuniário, qualquer bem danificado, furtado ou desaparecido, em decorrência de ação, omissão ou negligência de seus funcionários;</w:t>
      </w:r>
    </w:p>
    <w:p w14:paraId="08A4B91B"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Não sendo possível a substituição do bem danificado ou extraviado, a CONTRATANTE poderá autorizar o ressarcimento em espécie, promovendo previamente, nesta hipótese, a apuração do valor de mercado, atualizado, do bem, para efeito de recolhimento da importância respectiva aos cofres públicos;</w:t>
      </w:r>
    </w:p>
    <w:p w14:paraId="325DFC14"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Manter durante a vigência do Contrato as mesmas condições para sua contratação com a Administração Pública, apresentando sempre que exigidos os comprovantes de regularidade fiscal;</w:t>
      </w:r>
    </w:p>
    <w:p w14:paraId="5A9C58BD"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Descontar das parcelas mensais as faltas de pessoal que não executou os serviços nas unidades da CONTRATANTE, a serem apontadas pelo órgão fiscalizador, desde que a CONTRATADA não tenha promovido as devidas substituições, sem prejuízo da aplicação de penalidades;</w:t>
      </w:r>
    </w:p>
    <w:p w14:paraId="3B0543D2"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lastRenderedPageBreak/>
        <w:t>Preservar e manter a Universidade Federal Fluminense à margem de todas as reivindicações, queixas e representações de quaisquer naturezas, referente aos serviços a serem contratados, responsabilizando-se expressamente pelos encargos trabalhistas e previdenciários;</w:t>
      </w:r>
    </w:p>
    <w:p w14:paraId="54079E1D"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Cumprir as posturas municipais e as disposições legais estaduais e federais que interfiram na execução dos serviços;</w:t>
      </w:r>
    </w:p>
    <w:p w14:paraId="43499BAC"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Não transferir, subcontratar ou ceder, total ou parcialmente, a qualquer título, os direitos e obrigações decorrentes da pretendida contratação ou de sua execução, sem a prévia e expressa autorização da Contratante;</w:t>
      </w:r>
    </w:p>
    <w:p w14:paraId="79E5E6DA" w14:textId="77777777" w:rsidR="00404D08" w:rsidRDefault="00000000">
      <w:pPr>
        <w:pStyle w:val="Nivel3"/>
        <w:numPr>
          <w:ilvl w:val="2"/>
          <w:numId w:val="4"/>
        </w:numPr>
        <w:spacing w:afterLines="120" w:after="288" w:line="312" w:lineRule="auto"/>
        <w:ind w:hanging="567"/>
        <w:rPr>
          <w:rFonts w:asciiTheme="minorHAnsi" w:hAnsiTheme="minorHAnsi" w:cstheme="minorHAnsi"/>
          <w:sz w:val="22"/>
          <w:szCs w:val="22"/>
        </w:rPr>
      </w:pPr>
      <w:r>
        <w:rPr>
          <w:rFonts w:ascii="Calibri" w:hAnsi="Calibri" w:cs="Calibri"/>
          <w:sz w:val="22"/>
          <w:szCs w:val="22"/>
        </w:rPr>
        <w:t>Deverão ser emitidas Notas Fiscais separadas por localidade de prestação dos serviços, para o correto recolhimento do ISSQN, sob pena de dupla tributação e cobranças dos munícipios onde os serviços foram prestados.</w:t>
      </w:r>
    </w:p>
    <w:p w14:paraId="03D64371" w14:textId="77777777" w:rsidR="00404D08" w:rsidRDefault="00000000">
      <w:pPr>
        <w:pStyle w:val="Nivel01"/>
        <w:tabs>
          <w:tab w:val="clear" w:pos="360"/>
        </w:tabs>
        <w:spacing w:afterLines="120" w:after="288" w:line="312" w:lineRule="auto"/>
        <w:rPr>
          <w:rFonts w:asciiTheme="minorHAnsi" w:hAnsiTheme="minorHAnsi" w:cstheme="minorHAnsi"/>
          <w:sz w:val="22"/>
          <w:szCs w:val="22"/>
        </w:rPr>
      </w:pPr>
      <w:r>
        <w:rPr>
          <w:rFonts w:asciiTheme="minorHAnsi" w:hAnsiTheme="minorHAnsi" w:cstheme="minorHAnsi"/>
          <w:sz w:val="22"/>
          <w:szCs w:val="22"/>
        </w:rPr>
        <w:t>CLÁUSULA DÉCIMA- OBRIGAÇÕES PERTINENTES À LGPD</w:t>
      </w:r>
    </w:p>
    <w:p w14:paraId="4DE5FE79" w14:textId="77777777" w:rsidR="00404D08" w:rsidRDefault="00000000">
      <w:pPr>
        <w:pStyle w:val="Nvel2-Red"/>
        <w:numPr>
          <w:ilvl w:val="1"/>
          <w:numId w:val="4"/>
        </w:numPr>
        <w:spacing w:afterLines="120" w:after="288"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As partes deverão cumprir a </w:t>
      </w:r>
      <w:hyperlink r:id="rId38" w:history="1">
        <w:r>
          <w:rPr>
            <w:rStyle w:val="Hyperlink"/>
            <w:rFonts w:asciiTheme="minorHAnsi" w:hAnsiTheme="minorHAnsi" w:cstheme="minorHAnsi"/>
            <w:i w:val="0"/>
            <w:iCs w:val="0"/>
            <w:color w:val="auto"/>
            <w:sz w:val="22"/>
            <w:szCs w:val="22"/>
          </w:rPr>
          <w:t>Lei nº 13.709, de 14 de agosto de 2018 (LGPD)</w:t>
        </w:r>
      </w:hyperlink>
      <w:r>
        <w:rPr>
          <w:rFonts w:asciiTheme="minorHAnsi" w:hAnsiTheme="minorHAnsi" w:cstheme="minorHAnsi"/>
          <w:i w:val="0"/>
          <w:iCs w:val="0"/>
          <w:color w:val="auto"/>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B60392F" w14:textId="77777777" w:rsidR="00404D08" w:rsidRDefault="00000000">
      <w:pPr>
        <w:pStyle w:val="Nvel2-Red"/>
        <w:numPr>
          <w:ilvl w:val="1"/>
          <w:numId w:val="4"/>
        </w:numPr>
        <w:spacing w:afterLines="120" w:after="288"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Os dados obtidos somente poderão ser utilizados para as finalidades que justificaram seu acesso e de acordo com a boa-fé e com os princípios do </w:t>
      </w:r>
      <w:hyperlink r:id="rId39" w:anchor="art6" w:history="1">
        <w:r>
          <w:rPr>
            <w:rStyle w:val="Hyperlink"/>
            <w:rFonts w:asciiTheme="minorHAnsi" w:hAnsiTheme="minorHAnsi" w:cstheme="minorHAnsi"/>
            <w:i w:val="0"/>
            <w:iCs w:val="0"/>
            <w:color w:val="auto"/>
            <w:sz w:val="22"/>
            <w:szCs w:val="22"/>
          </w:rPr>
          <w:t>art. 6º da LGPD</w:t>
        </w:r>
      </w:hyperlink>
      <w:r>
        <w:rPr>
          <w:rFonts w:asciiTheme="minorHAnsi" w:hAnsiTheme="minorHAnsi" w:cstheme="minorHAnsi"/>
          <w:i w:val="0"/>
          <w:iCs w:val="0"/>
          <w:color w:val="auto"/>
          <w:sz w:val="22"/>
          <w:szCs w:val="22"/>
        </w:rPr>
        <w:t xml:space="preserve">. </w:t>
      </w:r>
    </w:p>
    <w:p w14:paraId="057E6FA8" w14:textId="77777777" w:rsidR="00404D08" w:rsidRDefault="00000000">
      <w:pPr>
        <w:pStyle w:val="Nvel2-Red"/>
        <w:numPr>
          <w:ilvl w:val="1"/>
          <w:numId w:val="4"/>
        </w:numPr>
        <w:spacing w:afterLines="120" w:after="288"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É vedado o compartilhamento com terceiros dos dados obtidos fora das hipóteses permitidas em Lei.</w:t>
      </w:r>
    </w:p>
    <w:p w14:paraId="5E8E409E" w14:textId="77777777" w:rsidR="00404D08" w:rsidRDefault="00000000">
      <w:pPr>
        <w:pStyle w:val="Nvel2-Red"/>
        <w:numPr>
          <w:ilvl w:val="1"/>
          <w:numId w:val="4"/>
        </w:numPr>
        <w:spacing w:afterLines="120" w:after="288"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A Administração deverá ser informada no prazo de 5 (cinco) dias úteis sobre todos os contratos de suboperação firmados ou que venham a ser celebrados pelo Contratado. </w:t>
      </w:r>
    </w:p>
    <w:p w14:paraId="1251DD45" w14:textId="77777777" w:rsidR="00404D08" w:rsidRDefault="00000000">
      <w:pPr>
        <w:pStyle w:val="Nvel2-Red"/>
        <w:numPr>
          <w:ilvl w:val="1"/>
          <w:numId w:val="4"/>
        </w:numPr>
        <w:spacing w:afterLines="120" w:after="288"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Terminado o tratamento dos dados nos termos do </w:t>
      </w:r>
      <w:hyperlink r:id="rId40" w:anchor="art15" w:history="1">
        <w:r>
          <w:rPr>
            <w:rStyle w:val="Hyperlink"/>
            <w:rFonts w:asciiTheme="minorHAnsi" w:hAnsiTheme="minorHAnsi" w:cstheme="minorHAnsi"/>
            <w:i w:val="0"/>
            <w:iCs w:val="0"/>
            <w:color w:val="auto"/>
            <w:sz w:val="22"/>
            <w:szCs w:val="22"/>
          </w:rPr>
          <w:t>art. 15 da LGPD</w:t>
        </w:r>
      </w:hyperlink>
      <w:r>
        <w:rPr>
          <w:rFonts w:asciiTheme="minorHAnsi" w:hAnsiTheme="minorHAnsi" w:cstheme="minorHAnsi"/>
          <w:i w:val="0"/>
          <w:iCs w:val="0"/>
          <w:color w:val="auto"/>
          <w:sz w:val="22"/>
          <w:szCs w:val="22"/>
        </w:rPr>
        <w:t xml:space="preserve">, é dever do contratado eliminá-los, com exceção das hipóteses do </w:t>
      </w:r>
      <w:hyperlink r:id="rId41" w:anchor="art16" w:history="1">
        <w:r>
          <w:rPr>
            <w:rStyle w:val="Hyperlink"/>
            <w:rFonts w:asciiTheme="minorHAnsi" w:hAnsiTheme="minorHAnsi" w:cstheme="minorHAnsi"/>
            <w:i w:val="0"/>
            <w:iCs w:val="0"/>
            <w:color w:val="auto"/>
            <w:sz w:val="22"/>
            <w:szCs w:val="22"/>
          </w:rPr>
          <w:t>art. 16 da LGPD</w:t>
        </w:r>
      </w:hyperlink>
      <w:r>
        <w:rPr>
          <w:rFonts w:asciiTheme="minorHAnsi" w:hAnsiTheme="minorHAnsi" w:cstheme="minorHAnsi"/>
          <w:i w:val="0"/>
          <w:iCs w:val="0"/>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69A25ACF" w14:textId="77777777" w:rsidR="00404D08" w:rsidRDefault="00000000">
      <w:pPr>
        <w:pStyle w:val="Nvel2-Red"/>
        <w:numPr>
          <w:ilvl w:val="1"/>
          <w:numId w:val="4"/>
        </w:numPr>
        <w:spacing w:afterLines="120" w:after="288"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É dever do contratado orientar e treinar seus empregados sobre os deveres, requisitos e responsabilidades decorrentes da LGPD. </w:t>
      </w:r>
    </w:p>
    <w:p w14:paraId="1482A0A0" w14:textId="77777777" w:rsidR="00404D08" w:rsidRDefault="00000000">
      <w:pPr>
        <w:pStyle w:val="Nvel2-Red"/>
        <w:numPr>
          <w:ilvl w:val="1"/>
          <w:numId w:val="4"/>
        </w:numPr>
        <w:spacing w:afterLines="120" w:after="288"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O Contratado deverá exigir de suboperadores e subcontratados o cumprimento dos deveres da presente cláusula, permanecendo integralmente responsável por garantir sua observância.</w:t>
      </w:r>
    </w:p>
    <w:p w14:paraId="7258E367" w14:textId="77777777" w:rsidR="00404D08" w:rsidRDefault="00000000">
      <w:pPr>
        <w:pStyle w:val="Nvel2-Red"/>
        <w:numPr>
          <w:ilvl w:val="1"/>
          <w:numId w:val="4"/>
        </w:numPr>
        <w:spacing w:afterLines="120" w:after="288"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lastRenderedPageBreak/>
        <w:t xml:space="preserve">O Contratante poderá realizar diligência para aferir o cumprimento dessa cláusula, devendo o Contratado atender prontamente eventuais pedidos de comprovação formulados. </w:t>
      </w:r>
    </w:p>
    <w:p w14:paraId="5718D8FB" w14:textId="77777777" w:rsidR="00404D08" w:rsidRDefault="00000000">
      <w:pPr>
        <w:pStyle w:val="Nvel2-Red"/>
        <w:numPr>
          <w:ilvl w:val="1"/>
          <w:numId w:val="4"/>
        </w:numPr>
        <w:spacing w:afterLines="120" w:after="288"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6F490B0B" w14:textId="77777777" w:rsidR="00404D08" w:rsidRDefault="00000000">
      <w:pPr>
        <w:pStyle w:val="Nvel2-Red"/>
        <w:numPr>
          <w:ilvl w:val="1"/>
          <w:numId w:val="4"/>
        </w:numPr>
        <w:spacing w:afterLines="120" w:after="288"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2" w:anchor="art37" w:history="1">
        <w:r>
          <w:rPr>
            <w:rStyle w:val="Hyperlink"/>
            <w:rFonts w:asciiTheme="minorHAnsi" w:hAnsiTheme="minorHAnsi" w:cstheme="minorHAnsi"/>
            <w:i w:val="0"/>
            <w:iCs w:val="0"/>
            <w:color w:val="auto"/>
            <w:sz w:val="22"/>
            <w:szCs w:val="22"/>
          </w:rPr>
          <w:t>LGPD, art. 37</w:t>
        </w:r>
      </w:hyperlink>
      <w:r>
        <w:rPr>
          <w:rFonts w:asciiTheme="minorHAnsi" w:hAnsiTheme="minorHAnsi" w:cstheme="minorHAnsi"/>
          <w:i w:val="0"/>
          <w:iCs w:val="0"/>
          <w:color w:val="auto"/>
          <w:sz w:val="22"/>
          <w:szCs w:val="22"/>
        </w:rPr>
        <w:t>), com cada acesso, data, horário e registro da finalidade, para efeito de responsabilização, em caso de eventuais omissões, desvios ou abusos.</w:t>
      </w:r>
    </w:p>
    <w:p w14:paraId="60399A7B" w14:textId="77777777" w:rsidR="00404D08" w:rsidRDefault="00000000">
      <w:pPr>
        <w:pStyle w:val="Nvel3-R"/>
        <w:numPr>
          <w:ilvl w:val="2"/>
          <w:numId w:val="4"/>
        </w:numPr>
        <w:spacing w:afterLines="120" w:after="288" w:line="312" w:lineRule="auto"/>
        <w:ind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Os referidos bancos de dados devem ser desenvolvidos em formato interoperável, a fim de garantir a reutilização desses dados pela Administração nas hipóteses previstas na LGPD.</w:t>
      </w:r>
    </w:p>
    <w:p w14:paraId="1CE859B2" w14:textId="77777777" w:rsidR="00404D08" w:rsidRDefault="00000000">
      <w:pPr>
        <w:pStyle w:val="Nvel2-Red"/>
        <w:numPr>
          <w:ilvl w:val="1"/>
          <w:numId w:val="4"/>
        </w:numPr>
        <w:spacing w:afterLines="120" w:after="288"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18C5C28E" w14:textId="77777777" w:rsidR="00404D08" w:rsidRDefault="00000000">
      <w:pPr>
        <w:pStyle w:val="Nivel01"/>
        <w:tabs>
          <w:tab w:val="clear" w:pos="360"/>
        </w:tabs>
        <w:spacing w:afterLines="120" w:after="288" w:line="312" w:lineRule="auto"/>
        <w:rPr>
          <w:rFonts w:asciiTheme="minorHAnsi" w:hAnsiTheme="minorHAnsi" w:cstheme="minorHAnsi"/>
          <w:sz w:val="22"/>
          <w:szCs w:val="22"/>
        </w:rPr>
      </w:pPr>
      <w:r>
        <w:rPr>
          <w:rFonts w:asciiTheme="minorHAnsi" w:hAnsiTheme="minorHAnsi" w:cstheme="minorHAnsi"/>
          <w:sz w:val="22"/>
          <w:szCs w:val="22"/>
        </w:rPr>
        <w:t>CLÁUSULA DÉCIMA PRIMEIRA – GARANTIA DE EXECUÇÃO (</w:t>
      </w:r>
      <w:hyperlink r:id="rId43" w:anchor="art92" w:history="1">
        <w:r>
          <w:rPr>
            <w:rStyle w:val="Hyperlink"/>
            <w:rFonts w:asciiTheme="minorHAnsi" w:hAnsiTheme="minorHAnsi" w:cstheme="minorHAnsi"/>
            <w:sz w:val="22"/>
            <w:szCs w:val="22"/>
          </w:rPr>
          <w:t>art. 92, XII e XIII</w:t>
        </w:r>
      </w:hyperlink>
      <w:r>
        <w:rPr>
          <w:rFonts w:asciiTheme="minorHAnsi" w:hAnsiTheme="minorHAnsi" w:cstheme="minorHAnsi"/>
          <w:sz w:val="22"/>
          <w:szCs w:val="22"/>
        </w:rPr>
        <w:t xml:space="preserve">) </w:t>
      </w:r>
    </w:p>
    <w:p w14:paraId="75C58099" w14:textId="77777777" w:rsidR="00404D08" w:rsidRDefault="00000000">
      <w:pPr>
        <w:pStyle w:val="Nvel2-Red"/>
        <w:numPr>
          <w:ilvl w:val="1"/>
          <w:numId w:val="4"/>
        </w:numPr>
        <w:spacing w:afterLines="120" w:after="288"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5% (cinco por cento) do valor total/anual do contrato, limitada ao equivalente a 2 (dois) meses do custo da folha de pagamento dos empregados da contratada que venham a participar da execução dos serviços contratados. </w:t>
      </w:r>
    </w:p>
    <w:p w14:paraId="34E36492" w14:textId="77777777" w:rsidR="00404D08" w:rsidRDefault="00000000">
      <w:pPr>
        <w:pStyle w:val="Nvel3-R"/>
        <w:numPr>
          <w:ilvl w:val="2"/>
          <w:numId w:val="16"/>
        </w:numPr>
        <w:spacing w:afterLines="120" w:after="288"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A inobservância do prazo fixado para apresentação da garantia acarretará a aplicação de multa de 0,07% (sete centésimos por cento) do valor total do contrato por dia de atraso, até o máximo de 2% (dois por cento).  </w:t>
      </w:r>
    </w:p>
    <w:p w14:paraId="1295F99A" w14:textId="77777777" w:rsidR="00404D08" w:rsidRDefault="00000000">
      <w:pPr>
        <w:pStyle w:val="Nvel3-R"/>
        <w:numPr>
          <w:ilvl w:val="2"/>
          <w:numId w:val="16"/>
        </w:numPr>
        <w:spacing w:afterLines="120" w:after="288"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 atraso superior a 25 (vinte e cinco) dias autoriza a Administração a promover a extinção do contrato por descumprimento ou cumprimento irregular de suas cláusulas, conforme dispõe o </w:t>
      </w:r>
      <w:hyperlink r:id="rId44" w:anchor="art137" w:history="1">
        <w:r>
          <w:rPr>
            <w:rStyle w:val="Hyperlink"/>
            <w:rFonts w:asciiTheme="minorHAnsi" w:hAnsiTheme="minorHAnsi" w:cstheme="minorHAnsi"/>
            <w:i w:val="0"/>
            <w:iCs w:val="0"/>
            <w:color w:val="auto"/>
            <w:sz w:val="22"/>
            <w:szCs w:val="22"/>
          </w:rPr>
          <w:t>inciso I do art. 137 da Lei n. 14.133, de 2021</w:t>
        </w:r>
      </w:hyperlink>
      <w:r>
        <w:rPr>
          <w:rFonts w:asciiTheme="minorHAnsi" w:hAnsiTheme="minorHAnsi" w:cstheme="minorHAnsi"/>
          <w:i w:val="0"/>
          <w:iCs w:val="0"/>
          <w:color w:val="auto"/>
          <w:sz w:val="22"/>
          <w:szCs w:val="22"/>
        </w:rPr>
        <w:t>.</w:t>
      </w:r>
    </w:p>
    <w:p w14:paraId="1E954424" w14:textId="77777777" w:rsidR="00404D08" w:rsidRDefault="00000000">
      <w:pPr>
        <w:pStyle w:val="Nvel2-Red"/>
        <w:numPr>
          <w:ilvl w:val="1"/>
          <w:numId w:val="16"/>
        </w:numPr>
        <w:spacing w:afterLines="120" w:after="288" w:line="312" w:lineRule="auto"/>
        <w:ind w:left="567" w:hanging="567"/>
        <w:rPr>
          <w:rFonts w:asciiTheme="minorHAnsi" w:hAnsiTheme="minorHAnsi" w:cstheme="minorHAnsi"/>
          <w:i w:val="0"/>
          <w:iCs w:val="0"/>
          <w:color w:val="auto"/>
          <w:sz w:val="22"/>
          <w:szCs w:val="22"/>
        </w:rPr>
      </w:pPr>
      <w:r>
        <w:rPr>
          <w:rStyle w:val="normaltextrun"/>
          <w:rFonts w:asciiTheme="minorHAnsi" w:hAnsiTheme="minorHAnsi" w:cstheme="minorHAnsi"/>
          <w:i w:val="0"/>
          <w:iCs w:val="0"/>
          <w:color w:val="auto"/>
          <w:sz w:val="22"/>
          <w:szCs w:val="22"/>
          <w:shd w:val="clear" w:color="auto" w:fill="FFFFFF"/>
        </w:rPr>
        <w:t xml:space="preserve"> </w:t>
      </w:r>
      <w:r>
        <w:rPr>
          <w:rFonts w:asciiTheme="minorHAnsi" w:hAnsiTheme="minorHAnsi" w:cstheme="minorHAnsi"/>
          <w:i w:val="0"/>
          <w:iCs w:val="0"/>
          <w:color w:val="auto"/>
          <w:sz w:val="22"/>
          <w:szCs w:val="22"/>
        </w:rPr>
        <w:t>A garantia, qualquer que seja a modalidade escolhida, terá validade durante a vigência do contrato e por mais 90 (noventa) dias após término deste prazo de vigência.  </w:t>
      </w:r>
    </w:p>
    <w:p w14:paraId="5F63DF96" w14:textId="77777777" w:rsidR="00404D08" w:rsidRDefault="00000000">
      <w:pPr>
        <w:pStyle w:val="Nvel2-Red"/>
        <w:numPr>
          <w:ilvl w:val="1"/>
          <w:numId w:val="16"/>
        </w:numPr>
        <w:spacing w:afterLines="120" w:after="288"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lastRenderedPageBreak/>
        <w:t>Caso utili</w:t>
      </w:r>
      <w:r>
        <w:rPr>
          <w:rFonts w:asciiTheme="minorHAnsi" w:hAnsiTheme="minorHAnsi" w:cstheme="minorHAnsi"/>
          <w:i w:val="0"/>
          <w:iCs w:val="0"/>
          <w:color w:val="auto"/>
          <w:sz w:val="22"/>
          <w:szCs w:val="22"/>
          <w:lang w:eastAsia="en-US"/>
        </w:rPr>
        <w:t xml:space="preserve">zada a modalidade </w:t>
      </w:r>
      <w:r>
        <w:rPr>
          <w:rFonts w:asciiTheme="minorHAnsi" w:hAnsiTheme="minorHAnsi" w:cstheme="minorHAnsi"/>
          <w:i w:val="0"/>
          <w:iCs w:val="0"/>
          <w:color w:val="auto"/>
          <w:sz w:val="22"/>
          <w:szCs w:val="22"/>
        </w:rPr>
        <w:t>de seguro-garantia, a apólice permanecerá em vigor mesmo que o contratado não pague o prêmio nas datas convencionadas.</w:t>
      </w:r>
    </w:p>
    <w:p w14:paraId="15855469" w14:textId="77777777" w:rsidR="00404D08" w:rsidRDefault="00000000">
      <w:pPr>
        <w:pStyle w:val="Nvel2-Red"/>
        <w:numPr>
          <w:ilvl w:val="1"/>
          <w:numId w:val="16"/>
        </w:numPr>
        <w:spacing w:afterLines="120" w:after="288"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A apólice do seguro garantia deverá acompanhar as modificações referentes à vigência do contrato principal mediante a emissão do respectivo endosso pela seguradora.</w:t>
      </w:r>
    </w:p>
    <w:p w14:paraId="37040E98" w14:textId="4DEFA926"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Será permitida a substituição da apólice de seguro-garantia na data de renovação ou de aniversário, desde que mantidas as condições e coberturas da apólice vigente e nenhum período fique descoberto, ressalvado o disposto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_Ref125984616 \r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00FA265F">
        <w:rPr>
          <w:rFonts w:asciiTheme="minorHAnsi" w:hAnsiTheme="minorHAnsi" w:cstheme="minorHAnsi"/>
          <w:sz w:val="22"/>
          <w:szCs w:val="22"/>
        </w:rPr>
        <w:t>11.6</w:t>
      </w:r>
      <w:r>
        <w:rPr>
          <w:rFonts w:asciiTheme="minorHAnsi" w:hAnsiTheme="minorHAnsi" w:cstheme="minorHAnsi"/>
          <w:sz w:val="22"/>
          <w:szCs w:val="22"/>
        </w:rPr>
        <w:fldChar w:fldCharType="end"/>
      </w:r>
      <w:r>
        <w:rPr>
          <w:rFonts w:asciiTheme="minorHAnsi" w:hAnsiTheme="minorHAnsi" w:cstheme="minorHAnsi"/>
          <w:sz w:val="22"/>
          <w:szCs w:val="22"/>
        </w:rPr>
        <w:t xml:space="preserve"> deste contrato.</w:t>
      </w:r>
    </w:p>
    <w:p w14:paraId="31B0BDE1"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bookmarkStart w:id="4" w:name="_Ref125984616"/>
      <w:bookmarkStart w:id="5" w:name="_Ref118297051"/>
      <w:r>
        <w:rPr>
          <w:rFonts w:asciiTheme="minorHAnsi" w:hAnsiTheme="minorHAnsi" w:cstheme="minorHAnsi"/>
          <w:sz w:val="22"/>
          <w:szCs w:val="22"/>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4"/>
      <w:bookmarkEnd w:id="5"/>
    </w:p>
    <w:p w14:paraId="6471205A"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bookmarkStart w:id="6" w:name="_Ref118297166"/>
      <w:r>
        <w:rPr>
          <w:rFonts w:asciiTheme="minorHAnsi" w:hAnsiTheme="minorHAnsi" w:cstheme="minorHAnsi"/>
          <w:sz w:val="22"/>
          <w:szCs w:val="22"/>
        </w:rPr>
        <w:t>A garantia assegurará, qualquer que seja a modalidade escolhida, o pagamento de:</w:t>
      </w:r>
      <w:bookmarkEnd w:id="6"/>
      <w:r>
        <w:rPr>
          <w:rFonts w:asciiTheme="minorHAnsi" w:hAnsiTheme="minorHAnsi" w:cstheme="minorHAnsi"/>
          <w:sz w:val="22"/>
          <w:szCs w:val="22"/>
        </w:rPr>
        <w:t xml:space="preserve"> </w:t>
      </w:r>
    </w:p>
    <w:p w14:paraId="62F2FEB3" w14:textId="77777777" w:rsidR="00404D08" w:rsidRDefault="00000000">
      <w:pPr>
        <w:pStyle w:val="Nvel3-R"/>
        <w:numPr>
          <w:ilvl w:val="2"/>
          <w:numId w:val="16"/>
        </w:numPr>
        <w:spacing w:afterLines="120" w:after="288"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prejuízos advindos do não cumprimento do objeto do contrato e do não adimplemento das demais obrigações nele previstas; </w:t>
      </w:r>
    </w:p>
    <w:p w14:paraId="1F220959" w14:textId="77777777" w:rsidR="00404D08" w:rsidRDefault="00000000">
      <w:pPr>
        <w:pStyle w:val="Nvel3-R"/>
        <w:numPr>
          <w:ilvl w:val="2"/>
          <w:numId w:val="16"/>
        </w:numPr>
        <w:spacing w:afterLines="120" w:after="288"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multas moratórias e punitivas aplicadas pela Administração ao contratado; e  </w:t>
      </w:r>
    </w:p>
    <w:p w14:paraId="77CD5985" w14:textId="77777777" w:rsidR="00404D08" w:rsidRDefault="00000000">
      <w:pPr>
        <w:pStyle w:val="Nvel3-R"/>
        <w:numPr>
          <w:ilvl w:val="2"/>
          <w:numId w:val="16"/>
        </w:numPr>
        <w:spacing w:afterLines="120" w:after="288" w:line="312" w:lineRule="auto"/>
        <w:ind w:left="567" w:hanging="567"/>
        <w:rPr>
          <w:rFonts w:asciiTheme="minorHAnsi" w:hAnsiTheme="minorHAnsi" w:cstheme="minorHAnsi"/>
          <w:i w:val="0"/>
          <w:iCs w:val="0"/>
          <w:color w:val="auto"/>
          <w:sz w:val="22"/>
          <w:szCs w:val="22"/>
        </w:rPr>
      </w:pPr>
      <w:r>
        <w:rPr>
          <w:rFonts w:asciiTheme="minorHAnsi" w:hAnsiTheme="minorHAnsi" w:cstheme="minorHAnsi"/>
          <w:bCs/>
          <w:i w:val="0"/>
          <w:iCs w:val="0"/>
          <w:color w:val="auto"/>
          <w:sz w:val="22"/>
          <w:szCs w:val="22"/>
        </w:rPr>
        <w:t xml:space="preserve">obrigações trabalhistas e previdenciárias </w:t>
      </w:r>
      <w:r>
        <w:rPr>
          <w:rFonts w:asciiTheme="minorHAnsi" w:hAnsiTheme="minorHAnsi" w:cstheme="minorHAnsi"/>
          <w:i w:val="0"/>
          <w:iCs w:val="0"/>
          <w:color w:val="auto"/>
          <w:sz w:val="22"/>
          <w:szCs w:val="22"/>
        </w:rPr>
        <w:t>de qualquer natureza e para com o FGTS, não adimplidas pelo contratado, quando couber.</w:t>
      </w:r>
    </w:p>
    <w:p w14:paraId="1BF03A61" w14:textId="6A8E6EF0"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A modalidade seguro-garantia somente será aceita se contemplar todos os eventos indicados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_Ref118297166 \r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00FA265F">
        <w:rPr>
          <w:rFonts w:asciiTheme="minorHAnsi" w:hAnsiTheme="minorHAnsi" w:cstheme="minorHAnsi"/>
          <w:sz w:val="22"/>
          <w:szCs w:val="22"/>
        </w:rPr>
        <w:t>11.7</w:t>
      </w:r>
      <w:r>
        <w:rPr>
          <w:rFonts w:asciiTheme="minorHAnsi" w:hAnsiTheme="minorHAnsi" w:cstheme="minorHAnsi"/>
          <w:sz w:val="22"/>
          <w:szCs w:val="22"/>
        </w:rPr>
        <w:fldChar w:fldCharType="end"/>
      </w:r>
      <w:r>
        <w:rPr>
          <w:rFonts w:asciiTheme="minorHAnsi" w:hAnsiTheme="minorHAnsi" w:cstheme="minorHAnsi"/>
          <w:sz w:val="22"/>
          <w:szCs w:val="22"/>
        </w:rPr>
        <w:t xml:space="preserve">, observada a legislação que rege a matéria. </w:t>
      </w:r>
    </w:p>
    <w:p w14:paraId="69FC66D7"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A garantia em dinheiro deverá ser efetuada em favor do contratante, em conta específica na Caixa Econômica Federal, com correção monetária.</w:t>
      </w:r>
    </w:p>
    <w:p w14:paraId="13022A83"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5525A65A"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45" w:anchor="art827" w:history="1">
        <w:r>
          <w:rPr>
            <w:rStyle w:val="Hyperlink"/>
            <w:rFonts w:asciiTheme="minorHAnsi" w:hAnsiTheme="minorHAnsi" w:cstheme="minorHAnsi"/>
            <w:color w:val="auto"/>
            <w:sz w:val="22"/>
            <w:szCs w:val="22"/>
          </w:rPr>
          <w:t>artigo 827 do Código Civil.</w:t>
        </w:r>
      </w:hyperlink>
    </w:p>
    <w:p w14:paraId="206B9E78"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lastRenderedPageBreak/>
        <w:t xml:space="preserve">No caso de alteração do valor do contrato, ou prorrogação de sua vigência, a garantia deverá ser ajustada ou renovada, seguindo os mesmos parâmetros utilizados quando da contratação. </w:t>
      </w:r>
    </w:p>
    <w:p w14:paraId="5BAB17EA"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Se o valor da garantia for utilizado total ou parcialmente em pagamento de qualquer obrigação, o Contratado obriga-se a fazer a respectiva reposição no prazo máximo de 10 (dez) dias úteis, contados da data em que for notificada.</w:t>
      </w:r>
    </w:p>
    <w:p w14:paraId="4DC1604C"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O Contratante executará a garantia na forma prevista na legislação que rege a matéria.</w:t>
      </w:r>
    </w:p>
    <w:p w14:paraId="0E9819DB" w14:textId="77777777" w:rsidR="00404D08" w:rsidRDefault="00000000">
      <w:pPr>
        <w:pStyle w:val="Nivel3"/>
        <w:numPr>
          <w:ilvl w:val="2"/>
          <w:numId w:val="16"/>
        </w:numPr>
        <w:spacing w:afterLines="120" w:after="288" w:line="312" w:lineRule="auto"/>
        <w:ind w:left="567" w:hanging="567"/>
        <w:rPr>
          <w:rFonts w:asciiTheme="minorHAnsi" w:hAnsiTheme="minorHAnsi" w:cstheme="minorHAnsi"/>
          <w:color w:val="auto"/>
          <w:sz w:val="22"/>
          <w:szCs w:val="22"/>
        </w:rPr>
      </w:pPr>
      <w:r>
        <w:rPr>
          <w:rFonts w:asciiTheme="minorHAnsi" w:hAnsiTheme="minorHAnsi" w:cstheme="minorHAnsi"/>
          <w:color w:val="auto"/>
          <w:sz w:val="22"/>
          <w:szCs w:val="22"/>
        </w:rPr>
        <w:t>O emitente da garantia ofertada pelo contratado deverá ser notificado pelo contratante quanto ao início de processo administrativo para apuração de descumprimento de cláusulas contratuais (</w:t>
      </w:r>
      <w:hyperlink r:id="rId46" w:anchor="art137§4" w:history="1">
        <w:r>
          <w:rPr>
            <w:rStyle w:val="Hyperlink"/>
            <w:rFonts w:asciiTheme="minorHAnsi" w:hAnsiTheme="minorHAnsi" w:cstheme="minorHAnsi"/>
            <w:color w:val="auto"/>
            <w:sz w:val="22"/>
            <w:szCs w:val="22"/>
          </w:rPr>
          <w:t>art. 137, § 4º, da Lei n.º 14.133, de 2021</w:t>
        </w:r>
      </w:hyperlink>
      <w:r>
        <w:rPr>
          <w:rFonts w:asciiTheme="minorHAnsi" w:hAnsiTheme="minorHAnsi" w:cstheme="minorHAnsi"/>
          <w:color w:val="auto"/>
          <w:sz w:val="22"/>
          <w:szCs w:val="22"/>
        </w:rPr>
        <w:t>).</w:t>
      </w:r>
    </w:p>
    <w:p w14:paraId="7C249CA7" w14:textId="77777777" w:rsidR="00404D08" w:rsidRDefault="00000000">
      <w:pPr>
        <w:pStyle w:val="Nivel3"/>
        <w:numPr>
          <w:ilvl w:val="2"/>
          <w:numId w:val="16"/>
        </w:numPr>
        <w:spacing w:afterLines="120" w:after="288" w:line="312" w:lineRule="auto"/>
        <w:ind w:left="567" w:hanging="567"/>
        <w:rPr>
          <w:rFonts w:asciiTheme="minorHAnsi" w:hAnsiTheme="minorHAnsi" w:cstheme="minorHAnsi"/>
          <w:color w:val="auto"/>
          <w:sz w:val="22"/>
          <w:szCs w:val="22"/>
        </w:rPr>
      </w:pPr>
      <w:r>
        <w:rPr>
          <w:rFonts w:asciiTheme="minorHAnsi" w:hAnsiTheme="minorHAnsi" w:cstheme="minorHAnsi"/>
          <w:color w:val="auto"/>
          <w:sz w:val="22"/>
          <w:szCs w:val="22"/>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47" w:anchor="art20" w:history="1">
        <w:r>
          <w:rPr>
            <w:rStyle w:val="Hyperlink"/>
            <w:rFonts w:asciiTheme="minorHAnsi" w:hAnsiTheme="minorHAnsi" w:cstheme="minorHAnsi"/>
            <w:color w:val="auto"/>
            <w:sz w:val="22"/>
            <w:szCs w:val="22"/>
          </w:rPr>
          <w:t>art. 20 da Circular Susep n° 662, de 11 de abril de 2022</w:t>
        </w:r>
      </w:hyperlink>
      <w:r>
        <w:rPr>
          <w:rFonts w:asciiTheme="minorHAnsi" w:hAnsiTheme="minorHAnsi" w:cstheme="minorHAnsi"/>
          <w:color w:val="auto"/>
          <w:sz w:val="22"/>
          <w:szCs w:val="22"/>
        </w:rPr>
        <w:t>.</w:t>
      </w:r>
    </w:p>
    <w:p w14:paraId="239AB86B"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01A19D31"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A garantia somente será liberada ou restituída após a fiel execução do contrato ou após a sua extinção por culpa exclusiva da Administração e, quando em dinheiro, será atualizada monetariamente.</w:t>
      </w:r>
    </w:p>
    <w:p w14:paraId="30181CBF"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 </w:t>
      </w:r>
    </w:p>
    <w:p w14:paraId="28138ADB"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Também poderá haver liberação da garantia se a empresa comprovar que os empregados serão realocados em outra atividade de prestação de serviços, sem que ocorra a interrupção do contrato de trabalho;</w:t>
      </w:r>
    </w:p>
    <w:p w14:paraId="10C2ACC5"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14:paraId="176ABC0D"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lastRenderedPageBreak/>
        <w:t xml:space="preserve">O garantidor não é parte para figurar em processo administrativo instaurado pelo contratante com o objetivo de apurar prejuízos e/ou aplicar sanções ao contratado. </w:t>
      </w:r>
    </w:p>
    <w:p w14:paraId="74BCFC93"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O contratado autoriza o contratante a reter, a qualquer tempo, a garantia, na forma prevista no Edital e neste Contrato.</w:t>
      </w:r>
    </w:p>
    <w:p w14:paraId="11327E4A" w14:textId="77777777" w:rsidR="00404D08" w:rsidRDefault="00000000">
      <w:pPr>
        <w:pStyle w:val="Nivel010"/>
        <w:numPr>
          <w:ilvl w:val="0"/>
          <w:numId w:val="16"/>
        </w:numPr>
        <w:tabs>
          <w:tab w:val="left" w:pos="360"/>
        </w:tabs>
        <w:spacing w:before="120" w:afterLines="120" w:after="288" w:line="312" w:lineRule="auto"/>
        <w:ind w:left="567" w:hanging="567"/>
        <w:rPr>
          <w:rFonts w:asciiTheme="minorHAnsi" w:hAnsiTheme="minorHAnsi" w:cstheme="minorHAnsi"/>
          <w:color w:val="FFFFFF" w:themeColor="background1"/>
          <w:sz w:val="22"/>
          <w:szCs w:val="22"/>
        </w:rPr>
      </w:pPr>
      <w:r>
        <w:rPr>
          <w:rFonts w:asciiTheme="minorHAnsi" w:hAnsiTheme="minorHAnsi" w:cstheme="minorHAnsi"/>
          <w:sz w:val="22"/>
          <w:szCs w:val="22"/>
        </w:rPr>
        <w:t>CLÁUSULA DÉCIMA SEGUNDA – INFRAÇÕES E SANÇÕES ADMINISTRATIVAS (</w:t>
      </w:r>
      <w:hyperlink r:id="rId48" w:anchor="art92" w:history="1">
        <w:r>
          <w:rPr>
            <w:rStyle w:val="Hyperlink"/>
            <w:rFonts w:asciiTheme="minorHAnsi" w:hAnsiTheme="minorHAnsi" w:cstheme="minorHAnsi"/>
            <w:sz w:val="22"/>
            <w:szCs w:val="22"/>
          </w:rPr>
          <w:t>art. 92, XIV</w:t>
        </w:r>
      </w:hyperlink>
      <w:r>
        <w:rPr>
          <w:rFonts w:asciiTheme="minorHAnsi" w:hAnsiTheme="minorHAnsi" w:cstheme="minorHAnsi"/>
          <w:sz w:val="22"/>
          <w:szCs w:val="22"/>
        </w:rPr>
        <w:t>)</w:t>
      </w:r>
    </w:p>
    <w:p w14:paraId="5923A7E3"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Comete infração administrativa, nos termos da </w:t>
      </w:r>
      <w:hyperlink r:id="rId49" w:history="1">
        <w:r>
          <w:rPr>
            <w:rStyle w:val="Hyperlink"/>
            <w:rFonts w:asciiTheme="minorHAnsi" w:hAnsiTheme="minorHAnsi" w:cstheme="minorHAnsi"/>
            <w:sz w:val="22"/>
            <w:szCs w:val="22"/>
          </w:rPr>
          <w:t>Lei nº 14.133, de 2021</w:t>
        </w:r>
      </w:hyperlink>
      <w:r>
        <w:rPr>
          <w:rFonts w:asciiTheme="minorHAnsi" w:hAnsiTheme="minorHAnsi" w:cstheme="minorHAnsi"/>
          <w:sz w:val="22"/>
          <w:szCs w:val="22"/>
        </w:rPr>
        <w:t>, o contratado que:</w:t>
      </w:r>
    </w:p>
    <w:p w14:paraId="47EC827C" w14:textId="77777777" w:rsidR="00404D08" w:rsidRDefault="00000000">
      <w:pPr>
        <w:numPr>
          <w:ilvl w:val="2"/>
          <w:numId w:val="17"/>
        </w:numPr>
        <w:spacing w:before="120" w:afterLines="120" w:after="288"/>
        <w:ind w:left="567" w:hanging="567"/>
        <w:jc w:val="both"/>
        <w:rPr>
          <w:rFonts w:asciiTheme="minorHAnsi" w:eastAsia="Arial" w:hAnsiTheme="minorHAnsi" w:cstheme="minorHAnsi"/>
          <w:sz w:val="22"/>
          <w:szCs w:val="22"/>
        </w:rPr>
      </w:pPr>
      <w:r>
        <w:rPr>
          <w:rFonts w:asciiTheme="minorHAnsi" w:eastAsia="Arial" w:hAnsiTheme="minorHAnsi" w:cstheme="minorHAnsi"/>
          <w:sz w:val="22"/>
          <w:szCs w:val="22"/>
        </w:rPr>
        <w:t>der causa à inexecução parcial do contrato;</w:t>
      </w:r>
    </w:p>
    <w:p w14:paraId="5756B2C6" w14:textId="77777777" w:rsidR="00404D08" w:rsidRDefault="00000000">
      <w:pPr>
        <w:numPr>
          <w:ilvl w:val="2"/>
          <w:numId w:val="17"/>
        </w:numPr>
        <w:spacing w:before="120" w:afterLines="120" w:after="288"/>
        <w:ind w:left="567" w:hanging="567"/>
        <w:jc w:val="both"/>
        <w:rPr>
          <w:rFonts w:asciiTheme="minorHAnsi" w:eastAsia="Arial" w:hAnsiTheme="minorHAnsi" w:cstheme="minorHAnsi"/>
          <w:sz w:val="22"/>
          <w:szCs w:val="22"/>
        </w:rPr>
      </w:pPr>
      <w:r>
        <w:rPr>
          <w:rFonts w:asciiTheme="minorHAnsi" w:eastAsia="Arial" w:hAnsiTheme="minorHAnsi" w:cstheme="minorHAnsi"/>
          <w:sz w:val="22"/>
          <w:szCs w:val="22"/>
        </w:rPr>
        <w:t>der causa à inexecução parcial do contrato que cause grave dano à Administração ou ao funcionamento dos serviços públicos ou ao interesse coletivo;</w:t>
      </w:r>
    </w:p>
    <w:p w14:paraId="34154D11" w14:textId="77777777" w:rsidR="00404D08" w:rsidRDefault="00000000">
      <w:pPr>
        <w:numPr>
          <w:ilvl w:val="2"/>
          <w:numId w:val="17"/>
        </w:numPr>
        <w:spacing w:before="120" w:afterLines="120" w:after="288"/>
        <w:ind w:left="567" w:hanging="567"/>
        <w:jc w:val="both"/>
        <w:rPr>
          <w:rFonts w:asciiTheme="minorHAnsi" w:eastAsia="Arial" w:hAnsiTheme="minorHAnsi" w:cstheme="minorHAnsi"/>
          <w:sz w:val="22"/>
          <w:szCs w:val="22"/>
        </w:rPr>
      </w:pPr>
      <w:r>
        <w:rPr>
          <w:rFonts w:asciiTheme="minorHAnsi" w:eastAsia="Arial" w:hAnsiTheme="minorHAnsi" w:cstheme="minorHAnsi"/>
          <w:sz w:val="22"/>
          <w:szCs w:val="22"/>
        </w:rPr>
        <w:t>der causa à inexecução total do contrato;</w:t>
      </w:r>
    </w:p>
    <w:p w14:paraId="303A57AC" w14:textId="77777777" w:rsidR="00404D08" w:rsidRDefault="00000000">
      <w:pPr>
        <w:numPr>
          <w:ilvl w:val="2"/>
          <w:numId w:val="17"/>
        </w:numPr>
        <w:spacing w:before="120" w:afterLines="120" w:after="288"/>
        <w:ind w:left="567" w:hanging="567"/>
        <w:jc w:val="both"/>
        <w:rPr>
          <w:rFonts w:asciiTheme="minorHAnsi" w:eastAsia="Arial" w:hAnsiTheme="minorHAnsi" w:cstheme="minorHAnsi"/>
          <w:sz w:val="22"/>
          <w:szCs w:val="22"/>
        </w:rPr>
      </w:pPr>
      <w:r>
        <w:rPr>
          <w:rFonts w:asciiTheme="minorHAnsi" w:eastAsia="Arial" w:hAnsiTheme="minorHAnsi" w:cstheme="minorHAnsi"/>
          <w:sz w:val="22"/>
          <w:szCs w:val="22"/>
        </w:rPr>
        <w:t>ensejar o retardamento da execução ou da entrega do objeto da contratação sem motivo justificado;</w:t>
      </w:r>
    </w:p>
    <w:p w14:paraId="49423ACC" w14:textId="77777777" w:rsidR="00404D08" w:rsidRDefault="00000000">
      <w:pPr>
        <w:numPr>
          <w:ilvl w:val="2"/>
          <w:numId w:val="17"/>
        </w:numPr>
        <w:spacing w:before="120" w:afterLines="120" w:after="288"/>
        <w:ind w:left="567" w:hanging="567"/>
        <w:jc w:val="both"/>
        <w:rPr>
          <w:rFonts w:asciiTheme="minorHAnsi" w:eastAsia="Arial" w:hAnsiTheme="minorHAnsi" w:cstheme="minorHAnsi"/>
          <w:sz w:val="22"/>
          <w:szCs w:val="22"/>
        </w:rPr>
      </w:pPr>
      <w:r>
        <w:rPr>
          <w:rFonts w:asciiTheme="minorHAnsi" w:eastAsia="Arial" w:hAnsiTheme="minorHAnsi" w:cstheme="minorHAnsi"/>
          <w:sz w:val="22"/>
          <w:szCs w:val="22"/>
        </w:rPr>
        <w:t>apresentar documentação falsa ou prestar declaração falsa durante a execução do contrato;</w:t>
      </w:r>
    </w:p>
    <w:p w14:paraId="0CD691BC" w14:textId="77777777" w:rsidR="00404D08" w:rsidRDefault="00000000">
      <w:pPr>
        <w:numPr>
          <w:ilvl w:val="2"/>
          <w:numId w:val="17"/>
        </w:numPr>
        <w:spacing w:before="120" w:afterLines="120" w:after="288"/>
        <w:ind w:left="567" w:hanging="567"/>
        <w:jc w:val="both"/>
        <w:rPr>
          <w:rFonts w:asciiTheme="minorHAnsi" w:eastAsia="Arial" w:hAnsiTheme="minorHAnsi" w:cstheme="minorHAnsi"/>
          <w:sz w:val="22"/>
          <w:szCs w:val="22"/>
        </w:rPr>
      </w:pPr>
      <w:r>
        <w:rPr>
          <w:rFonts w:asciiTheme="minorHAnsi" w:eastAsia="Arial" w:hAnsiTheme="minorHAnsi" w:cstheme="minorHAnsi"/>
          <w:sz w:val="22"/>
          <w:szCs w:val="22"/>
        </w:rPr>
        <w:t>praticar ato fraudulento na execução do contrato;</w:t>
      </w:r>
    </w:p>
    <w:p w14:paraId="1EA182CF" w14:textId="77777777" w:rsidR="00404D08" w:rsidRDefault="00000000">
      <w:pPr>
        <w:numPr>
          <w:ilvl w:val="2"/>
          <w:numId w:val="17"/>
        </w:numPr>
        <w:spacing w:before="120" w:afterLines="120" w:after="288"/>
        <w:ind w:left="567" w:hanging="567"/>
        <w:jc w:val="both"/>
        <w:rPr>
          <w:rFonts w:asciiTheme="minorHAnsi" w:eastAsia="Arial" w:hAnsiTheme="minorHAnsi" w:cstheme="minorHAnsi"/>
          <w:sz w:val="22"/>
          <w:szCs w:val="22"/>
        </w:rPr>
      </w:pPr>
      <w:r>
        <w:rPr>
          <w:rFonts w:asciiTheme="minorHAnsi" w:eastAsia="Arial" w:hAnsiTheme="minorHAnsi" w:cstheme="minorHAnsi"/>
          <w:sz w:val="22"/>
          <w:szCs w:val="22"/>
        </w:rPr>
        <w:t>comportar-se de modo inidôneo ou cometer fraude de qualquer natureza;</w:t>
      </w:r>
    </w:p>
    <w:p w14:paraId="35240ACE" w14:textId="77777777" w:rsidR="00404D08" w:rsidRDefault="00000000">
      <w:pPr>
        <w:numPr>
          <w:ilvl w:val="2"/>
          <w:numId w:val="17"/>
        </w:numPr>
        <w:spacing w:before="120" w:afterLines="120" w:after="288"/>
        <w:ind w:left="567" w:hanging="567"/>
        <w:jc w:val="both"/>
        <w:rPr>
          <w:rFonts w:asciiTheme="minorHAnsi" w:eastAsia="Arial" w:hAnsiTheme="minorHAnsi" w:cstheme="minorHAnsi"/>
          <w:sz w:val="22"/>
          <w:szCs w:val="22"/>
        </w:rPr>
      </w:pPr>
      <w:r>
        <w:rPr>
          <w:rFonts w:asciiTheme="minorHAnsi" w:eastAsia="Arial" w:hAnsiTheme="minorHAnsi" w:cstheme="minorHAnsi"/>
          <w:sz w:val="22"/>
          <w:szCs w:val="22"/>
        </w:rPr>
        <w:t xml:space="preserve">praticar ato lesivo previsto no </w:t>
      </w:r>
      <w:hyperlink r:id="rId50" w:anchor="art5" w:history="1">
        <w:r>
          <w:rPr>
            <w:rStyle w:val="Hyperlink"/>
            <w:rFonts w:asciiTheme="minorHAnsi" w:eastAsia="Arial" w:hAnsiTheme="minorHAnsi" w:cstheme="minorHAnsi"/>
            <w:sz w:val="22"/>
            <w:szCs w:val="22"/>
          </w:rPr>
          <w:t>art. 5º da Lei nº 12.846, de 1º de agosto de 2013</w:t>
        </w:r>
      </w:hyperlink>
      <w:r>
        <w:rPr>
          <w:rFonts w:asciiTheme="minorHAnsi" w:eastAsia="Arial" w:hAnsiTheme="minorHAnsi" w:cstheme="minorHAnsi"/>
          <w:sz w:val="22"/>
          <w:szCs w:val="22"/>
        </w:rPr>
        <w:t>.</w:t>
      </w:r>
    </w:p>
    <w:p w14:paraId="42BF3EE0"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Serão aplicadas ao contratado que incorrer nas infrações acima descritas as seguintes sanções:</w:t>
      </w:r>
    </w:p>
    <w:p w14:paraId="3DDC0080" w14:textId="77777777" w:rsidR="00404D08" w:rsidRDefault="00000000">
      <w:pPr>
        <w:numPr>
          <w:ilvl w:val="2"/>
          <w:numId w:val="18"/>
        </w:numPr>
        <w:spacing w:before="120" w:afterLines="120" w:after="288" w:line="312" w:lineRule="auto"/>
        <w:ind w:left="567" w:hanging="567"/>
        <w:contextualSpacing/>
        <w:jc w:val="both"/>
        <w:rPr>
          <w:rFonts w:asciiTheme="minorHAnsi" w:eastAsia="Arial" w:hAnsiTheme="minorHAnsi" w:cstheme="minorHAnsi"/>
          <w:sz w:val="22"/>
          <w:szCs w:val="22"/>
        </w:rPr>
      </w:pPr>
      <w:r>
        <w:rPr>
          <w:rFonts w:asciiTheme="minorHAnsi" w:eastAsia="Arial" w:hAnsiTheme="minorHAnsi" w:cstheme="minorHAnsi"/>
          <w:b/>
          <w:bCs/>
          <w:sz w:val="22"/>
          <w:szCs w:val="22"/>
        </w:rPr>
        <w:t>Advertência</w:t>
      </w:r>
      <w:r>
        <w:rPr>
          <w:rFonts w:asciiTheme="minorHAnsi" w:eastAsia="Arial" w:hAnsiTheme="minorHAnsi" w:cstheme="minorHAnsi"/>
          <w:sz w:val="22"/>
          <w:szCs w:val="22"/>
        </w:rPr>
        <w:t>, quando o contratado der causa à inexecução parcial do contrato, sempre que não se justificar a imposição de penalidade mais grave (</w:t>
      </w:r>
      <w:hyperlink r:id="rId51" w:anchor="art156§2" w:history="1">
        <w:r>
          <w:rPr>
            <w:rStyle w:val="Hyperlink"/>
            <w:rFonts w:asciiTheme="minorHAnsi" w:eastAsia="Arial" w:hAnsiTheme="minorHAnsi" w:cstheme="minorHAnsi"/>
            <w:sz w:val="22"/>
            <w:szCs w:val="22"/>
          </w:rPr>
          <w:t xml:space="preserve">art. 156, §2º, da </w:t>
        </w:r>
        <w:bookmarkStart w:id="7" w:name="_Hlk114504069"/>
        <w:r>
          <w:rPr>
            <w:rStyle w:val="Hyperlink"/>
            <w:rFonts w:asciiTheme="minorHAnsi" w:eastAsia="Arial" w:hAnsiTheme="minorHAnsi" w:cstheme="minorHAnsi"/>
            <w:sz w:val="22"/>
            <w:szCs w:val="22"/>
          </w:rPr>
          <w:t>Lei nº 14.133, de 2021</w:t>
        </w:r>
        <w:bookmarkEnd w:id="7"/>
      </w:hyperlink>
      <w:r>
        <w:rPr>
          <w:rFonts w:asciiTheme="minorHAnsi" w:eastAsia="Arial" w:hAnsiTheme="minorHAnsi" w:cstheme="minorHAnsi"/>
          <w:sz w:val="22"/>
          <w:szCs w:val="22"/>
        </w:rPr>
        <w:t>);</w:t>
      </w:r>
    </w:p>
    <w:p w14:paraId="3C0C0245" w14:textId="77777777" w:rsidR="00404D08" w:rsidRDefault="00000000">
      <w:pPr>
        <w:numPr>
          <w:ilvl w:val="2"/>
          <w:numId w:val="18"/>
        </w:numPr>
        <w:spacing w:before="120" w:afterLines="120" w:after="288" w:line="312" w:lineRule="auto"/>
        <w:ind w:left="567" w:hanging="567"/>
        <w:contextualSpacing/>
        <w:jc w:val="both"/>
        <w:rPr>
          <w:rFonts w:asciiTheme="minorHAnsi" w:eastAsia="Arial" w:hAnsiTheme="minorHAnsi" w:cstheme="minorHAnsi"/>
          <w:sz w:val="22"/>
          <w:szCs w:val="22"/>
        </w:rPr>
      </w:pPr>
      <w:r>
        <w:rPr>
          <w:rFonts w:asciiTheme="minorHAnsi" w:eastAsia="Arial" w:hAnsiTheme="minorHAnsi" w:cstheme="minorHAnsi"/>
          <w:b/>
          <w:bCs/>
          <w:sz w:val="22"/>
          <w:szCs w:val="22"/>
        </w:rPr>
        <w:t>Impedimento de licitar e contratar</w:t>
      </w:r>
      <w:r>
        <w:rPr>
          <w:rFonts w:asciiTheme="minorHAnsi" w:eastAsia="Arial" w:hAnsiTheme="minorHAnsi" w:cstheme="minorHAnsi"/>
          <w:sz w:val="22"/>
          <w:szCs w:val="22"/>
        </w:rPr>
        <w:t>, quando praticadas as condutas descritas nas alíneas “b”, “c” e “d” do subitem acima deste Contrato, sempre que não se justificar a imposição de penalidade mais grave (</w:t>
      </w:r>
      <w:hyperlink r:id="rId52" w:anchor="art156§4" w:history="1">
        <w:r>
          <w:rPr>
            <w:rStyle w:val="Hyperlink"/>
            <w:rFonts w:asciiTheme="minorHAnsi" w:eastAsia="Arial" w:hAnsiTheme="minorHAnsi" w:cstheme="minorHAnsi"/>
            <w:sz w:val="22"/>
            <w:szCs w:val="22"/>
          </w:rPr>
          <w:t>art. 156, § 4º, da Lei nº 14.133, de 2021</w:t>
        </w:r>
      </w:hyperlink>
      <w:r>
        <w:rPr>
          <w:rFonts w:asciiTheme="minorHAnsi" w:eastAsia="Arial" w:hAnsiTheme="minorHAnsi" w:cstheme="minorHAnsi"/>
          <w:sz w:val="22"/>
          <w:szCs w:val="22"/>
        </w:rPr>
        <w:t>);</w:t>
      </w:r>
    </w:p>
    <w:p w14:paraId="33BFEDC1" w14:textId="77777777" w:rsidR="00404D08" w:rsidRDefault="00000000">
      <w:pPr>
        <w:numPr>
          <w:ilvl w:val="2"/>
          <w:numId w:val="18"/>
        </w:numPr>
        <w:spacing w:before="120" w:afterLines="120" w:after="288" w:line="312" w:lineRule="auto"/>
        <w:ind w:left="567" w:hanging="567"/>
        <w:contextualSpacing/>
        <w:jc w:val="both"/>
        <w:rPr>
          <w:rFonts w:asciiTheme="minorHAnsi" w:eastAsia="Arial" w:hAnsiTheme="minorHAnsi" w:cstheme="minorHAnsi"/>
          <w:sz w:val="22"/>
          <w:szCs w:val="22"/>
        </w:rPr>
      </w:pPr>
      <w:r>
        <w:rPr>
          <w:rFonts w:asciiTheme="minorHAnsi" w:eastAsia="Arial" w:hAnsiTheme="minorHAnsi" w:cstheme="minorHAnsi"/>
          <w:b/>
          <w:bCs/>
          <w:sz w:val="22"/>
          <w:szCs w:val="22"/>
        </w:rPr>
        <w:t>Declaração de inidoneidade para licitar e contratar</w:t>
      </w:r>
      <w:r>
        <w:rPr>
          <w:rFonts w:asciiTheme="minorHAnsi" w:eastAsia="Arial" w:hAnsiTheme="minorHAnsi" w:cstheme="minorHAnsi"/>
          <w:sz w:val="22"/>
          <w:szCs w:val="22"/>
        </w:rPr>
        <w:t>, quando praticadas as condutas descritas nas alíneas “e”, “f”, “g” e “h” do subitem acima deste Contrato, bem como nas alíneas “b”, “c” e “d”, que justifiquem a imposição de penalidade mais grave (</w:t>
      </w:r>
      <w:hyperlink r:id="rId53" w:anchor="art156§5" w:history="1">
        <w:r>
          <w:rPr>
            <w:rStyle w:val="Hyperlink"/>
            <w:rFonts w:asciiTheme="minorHAnsi" w:eastAsia="Arial" w:hAnsiTheme="minorHAnsi" w:cstheme="minorHAnsi"/>
            <w:sz w:val="22"/>
            <w:szCs w:val="22"/>
          </w:rPr>
          <w:t>art. 156, §5º, da Lei nº 14.133, de 2021</w:t>
        </w:r>
      </w:hyperlink>
      <w:r>
        <w:rPr>
          <w:rFonts w:asciiTheme="minorHAnsi" w:eastAsia="Arial" w:hAnsiTheme="minorHAnsi" w:cstheme="minorHAnsi"/>
          <w:sz w:val="22"/>
          <w:szCs w:val="22"/>
        </w:rPr>
        <w:t>).</w:t>
      </w:r>
    </w:p>
    <w:p w14:paraId="6510D309" w14:textId="77777777" w:rsidR="00404D08" w:rsidRDefault="00000000">
      <w:pPr>
        <w:numPr>
          <w:ilvl w:val="2"/>
          <w:numId w:val="18"/>
        </w:numPr>
        <w:spacing w:before="120" w:afterLines="120" w:after="288" w:line="312" w:lineRule="auto"/>
        <w:ind w:left="567" w:hanging="567"/>
        <w:contextualSpacing/>
        <w:jc w:val="both"/>
        <w:rPr>
          <w:rFonts w:asciiTheme="minorHAnsi" w:eastAsia="Arial" w:hAnsiTheme="minorHAnsi" w:cstheme="minorHAnsi"/>
          <w:sz w:val="22"/>
          <w:szCs w:val="22"/>
        </w:rPr>
      </w:pPr>
      <w:r>
        <w:rPr>
          <w:rFonts w:asciiTheme="minorHAnsi" w:eastAsia="Arial" w:hAnsiTheme="minorHAnsi" w:cstheme="minorHAnsi"/>
          <w:b/>
          <w:bCs/>
          <w:sz w:val="22"/>
          <w:szCs w:val="22"/>
        </w:rPr>
        <w:t>Multa:</w:t>
      </w:r>
    </w:p>
    <w:p w14:paraId="517CFCE0" w14:textId="77777777" w:rsidR="00404D08" w:rsidRDefault="00000000">
      <w:pPr>
        <w:numPr>
          <w:ilvl w:val="3"/>
          <w:numId w:val="18"/>
        </w:numPr>
        <w:spacing w:before="120" w:afterLines="120" w:after="288" w:line="312" w:lineRule="auto"/>
        <w:ind w:left="567" w:hanging="567"/>
        <w:contextualSpacing/>
        <w:jc w:val="both"/>
        <w:rPr>
          <w:rFonts w:asciiTheme="minorHAnsi" w:eastAsia="Arial" w:hAnsiTheme="minorHAnsi" w:cstheme="minorHAnsi"/>
          <w:sz w:val="22"/>
          <w:szCs w:val="22"/>
        </w:rPr>
      </w:pPr>
      <w:r>
        <w:rPr>
          <w:rFonts w:asciiTheme="minorHAnsi" w:eastAsia="Arial" w:hAnsiTheme="minorHAnsi" w:cstheme="minorHAnsi"/>
          <w:sz w:val="22"/>
          <w:szCs w:val="22"/>
        </w:rPr>
        <w:t>moratória de 5% (cinco por cento) por dia de atraso injustificado sobre o valor da parcela inadimplida, até o limite de 30 (trinta) dias;</w:t>
      </w:r>
    </w:p>
    <w:p w14:paraId="42FDF9D6" w14:textId="77777777" w:rsidR="00404D08" w:rsidRDefault="00000000">
      <w:pPr>
        <w:numPr>
          <w:ilvl w:val="7"/>
          <w:numId w:val="18"/>
        </w:numPr>
        <w:spacing w:before="120" w:afterLines="120" w:after="288" w:line="312" w:lineRule="auto"/>
        <w:ind w:left="567" w:hanging="567"/>
        <w:contextualSpacing/>
        <w:jc w:val="both"/>
        <w:rPr>
          <w:rFonts w:asciiTheme="minorHAnsi" w:eastAsia="Arial" w:hAnsiTheme="minorHAnsi" w:cstheme="minorHAnsi"/>
          <w:sz w:val="22"/>
          <w:szCs w:val="22"/>
        </w:rPr>
      </w:pPr>
      <w:r>
        <w:rPr>
          <w:rFonts w:asciiTheme="minorHAnsi" w:eastAsia="Arial" w:hAnsiTheme="minorHAnsi" w:cstheme="minorHAnsi"/>
          <w:sz w:val="22"/>
          <w:szCs w:val="22"/>
        </w:rPr>
        <w:t xml:space="preserve">O atraso superior a 30 dias autoriza a Administração a promover a extinção do contrato por descumprimento ou cumprimento irregular de suas cláusulas, conforme dispõe o </w:t>
      </w:r>
      <w:hyperlink r:id="rId54" w:anchor="art137" w:history="1">
        <w:r>
          <w:rPr>
            <w:rStyle w:val="Hyperlink"/>
            <w:rFonts w:asciiTheme="minorHAnsi" w:eastAsia="Arial" w:hAnsiTheme="minorHAnsi" w:cstheme="minorHAnsi"/>
            <w:color w:val="auto"/>
            <w:sz w:val="22"/>
            <w:szCs w:val="22"/>
          </w:rPr>
          <w:t>inciso I do art. 137 da Lei n. 14.133, de 2021</w:t>
        </w:r>
      </w:hyperlink>
      <w:r>
        <w:rPr>
          <w:rFonts w:asciiTheme="minorHAnsi" w:eastAsia="Arial" w:hAnsiTheme="minorHAnsi" w:cstheme="minorHAnsi"/>
          <w:sz w:val="22"/>
          <w:szCs w:val="22"/>
        </w:rPr>
        <w:t xml:space="preserve">. </w:t>
      </w:r>
    </w:p>
    <w:p w14:paraId="24666621" w14:textId="77777777" w:rsidR="00404D08" w:rsidRDefault="00000000">
      <w:pPr>
        <w:numPr>
          <w:ilvl w:val="3"/>
          <w:numId w:val="18"/>
        </w:numPr>
        <w:spacing w:before="120" w:afterLines="120" w:after="288" w:line="312" w:lineRule="auto"/>
        <w:ind w:left="567" w:hanging="567"/>
        <w:contextualSpacing/>
        <w:jc w:val="both"/>
        <w:rPr>
          <w:rFonts w:asciiTheme="minorHAnsi" w:eastAsia="Arial" w:hAnsiTheme="minorHAnsi" w:cstheme="minorHAnsi"/>
          <w:sz w:val="22"/>
          <w:szCs w:val="22"/>
        </w:rPr>
      </w:pPr>
      <w:r>
        <w:rPr>
          <w:rFonts w:asciiTheme="minorHAnsi" w:eastAsia="Arial" w:hAnsiTheme="minorHAnsi" w:cstheme="minorHAnsi"/>
          <w:sz w:val="22"/>
          <w:szCs w:val="22"/>
        </w:rPr>
        <w:lastRenderedPageBreak/>
        <w:t>compensatória de 20% (vinte por cento) sobre o valor total do contrato, no caso de inexecução total do objeto;</w:t>
      </w:r>
    </w:p>
    <w:p w14:paraId="0768BC3C"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A aplicação das sanções previstas neste Contrato não exclui, em hipótese alguma, a obrigação de reparação integral do dano causado ao Contratante (</w:t>
      </w:r>
      <w:hyperlink r:id="rId55" w:anchor="art156§9" w:history="1">
        <w:r>
          <w:rPr>
            <w:rStyle w:val="Hyperlink"/>
            <w:rFonts w:asciiTheme="minorHAnsi" w:hAnsiTheme="minorHAnsi" w:cstheme="minorHAnsi"/>
            <w:sz w:val="22"/>
            <w:szCs w:val="22"/>
          </w:rPr>
          <w:t>art. 156, §9º, da Lei nº 14.133, de 2021</w:t>
        </w:r>
      </w:hyperlink>
      <w:r>
        <w:rPr>
          <w:rFonts w:asciiTheme="minorHAnsi" w:hAnsiTheme="minorHAnsi" w:cstheme="minorHAnsi"/>
          <w:sz w:val="22"/>
          <w:szCs w:val="22"/>
        </w:rPr>
        <w:t>)</w:t>
      </w:r>
    </w:p>
    <w:p w14:paraId="5809FEC5"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Todas as sanções previstas neste Contrato poderão ser aplicadas cumulativamente com a multa (</w:t>
      </w:r>
      <w:hyperlink r:id="rId56" w:anchor="art156§7" w:history="1">
        <w:r>
          <w:rPr>
            <w:rStyle w:val="Hyperlink"/>
            <w:rFonts w:asciiTheme="minorHAnsi" w:hAnsiTheme="minorHAnsi" w:cstheme="minorHAnsi"/>
            <w:sz w:val="22"/>
            <w:szCs w:val="22"/>
          </w:rPr>
          <w:t>art. 156, §7º, da Lei nº 14.133, de 2021</w:t>
        </w:r>
      </w:hyperlink>
      <w:r>
        <w:rPr>
          <w:rFonts w:asciiTheme="minorHAnsi" w:hAnsiTheme="minorHAnsi" w:cstheme="minorHAnsi"/>
          <w:sz w:val="22"/>
          <w:szCs w:val="22"/>
        </w:rPr>
        <w:t>).</w:t>
      </w:r>
    </w:p>
    <w:p w14:paraId="127FB585" w14:textId="77777777" w:rsidR="00404D08" w:rsidRDefault="00000000">
      <w:pPr>
        <w:pStyle w:val="Nivel3"/>
        <w:numPr>
          <w:ilvl w:val="2"/>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Antes da aplicação da multa será facultada a defesa do interessado no prazo de 15 (quinze) dias úteis, contado da data de sua intimação (</w:t>
      </w:r>
      <w:hyperlink r:id="rId57" w:anchor="art157" w:history="1">
        <w:r>
          <w:rPr>
            <w:rStyle w:val="Hyperlink"/>
            <w:rFonts w:asciiTheme="minorHAnsi" w:hAnsiTheme="minorHAnsi" w:cstheme="minorHAnsi"/>
            <w:sz w:val="22"/>
            <w:szCs w:val="22"/>
          </w:rPr>
          <w:t>art. 157, da Lei nº 14.133, de 2021</w:t>
        </w:r>
      </w:hyperlink>
      <w:r>
        <w:rPr>
          <w:rFonts w:asciiTheme="minorHAnsi" w:hAnsiTheme="minorHAnsi" w:cstheme="minorHAnsi"/>
          <w:sz w:val="22"/>
          <w:szCs w:val="22"/>
        </w:rPr>
        <w:t>)</w:t>
      </w:r>
    </w:p>
    <w:p w14:paraId="48635CA6" w14:textId="77777777" w:rsidR="00404D08" w:rsidRDefault="00000000">
      <w:pPr>
        <w:pStyle w:val="Nivel3"/>
        <w:numPr>
          <w:ilvl w:val="2"/>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58" w:anchor="art156§8" w:history="1">
        <w:r>
          <w:rPr>
            <w:rStyle w:val="Hyperlink"/>
            <w:rFonts w:asciiTheme="minorHAnsi" w:hAnsiTheme="minorHAnsi" w:cstheme="minorHAnsi"/>
            <w:sz w:val="22"/>
            <w:szCs w:val="22"/>
          </w:rPr>
          <w:t>art. 156, §8º, da Lei nº 14.133, de 2021</w:t>
        </w:r>
      </w:hyperlink>
      <w:r>
        <w:rPr>
          <w:rFonts w:asciiTheme="minorHAnsi" w:hAnsiTheme="minorHAnsi" w:cstheme="minorHAnsi"/>
          <w:sz w:val="22"/>
          <w:szCs w:val="22"/>
        </w:rPr>
        <w:t>).</w:t>
      </w:r>
    </w:p>
    <w:p w14:paraId="26E62206" w14:textId="77777777" w:rsidR="00404D08" w:rsidRDefault="00000000">
      <w:pPr>
        <w:pStyle w:val="Nivel3"/>
        <w:numPr>
          <w:ilvl w:val="2"/>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Previamente ao encaminhamento à cobrança judicial, a multa poderá ser recolhida administrativamente no prazo máximo de </w:t>
      </w:r>
      <w:r>
        <w:rPr>
          <w:rFonts w:asciiTheme="minorHAnsi" w:hAnsiTheme="minorHAnsi" w:cstheme="minorHAnsi"/>
          <w:color w:val="auto"/>
          <w:sz w:val="22"/>
          <w:szCs w:val="22"/>
        </w:rPr>
        <w:t>10 (dez)</w:t>
      </w:r>
      <w:r>
        <w:rPr>
          <w:rFonts w:asciiTheme="minorHAnsi" w:hAnsiTheme="minorHAnsi" w:cstheme="minorHAnsi"/>
          <w:i/>
          <w:iCs/>
          <w:color w:val="FF0000"/>
          <w:sz w:val="22"/>
          <w:szCs w:val="22"/>
        </w:rPr>
        <w:t xml:space="preserve"> </w:t>
      </w:r>
      <w:r>
        <w:rPr>
          <w:rFonts w:asciiTheme="minorHAnsi" w:hAnsiTheme="minorHAnsi" w:cstheme="minorHAnsi"/>
          <w:sz w:val="22"/>
          <w:szCs w:val="22"/>
        </w:rPr>
        <w:t>dias, a contar da data do recebimento da comunicação enviada pela autoridade competente.</w:t>
      </w:r>
      <w:bookmarkStart w:id="8" w:name="_Hlk78351618"/>
      <w:bookmarkEnd w:id="8"/>
    </w:p>
    <w:p w14:paraId="65B41239"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A aplicação das sanções realizar-se-á em processo administrativo que assegure o contraditório e a ampla defesa ao Contratado, observando-se o procedimento previsto no </w:t>
      </w:r>
      <w:r>
        <w:rPr>
          <w:rFonts w:asciiTheme="minorHAnsi" w:hAnsiTheme="minorHAnsi" w:cstheme="minorHAnsi"/>
          <w:b/>
          <w:bCs/>
          <w:sz w:val="22"/>
          <w:szCs w:val="22"/>
        </w:rPr>
        <w:t xml:space="preserve">caput </w:t>
      </w:r>
      <w:r>
        <w:rPr>
          <w:rFonts w:asciiTheme="minorHAnsi" w:hAnsiTheme="minorHAnsi" w:cstheme="minorHAnsi"/>
          <w:sz w:val="22"/>
          <w:szCs w:val="22"/>
        </w:rPr>
        <w:t xml:space="preserve">e parágrafos do </w:t>
      </w:r>
      <w:hyperlink r:id="rId59" w:anchor="art158" w:history="1">
        <w:r>
          <w:rPr>
            <w:rStyle w:val="Hyperlink"/>
            <w:rFonts w:asciiTheme="minorHAnsi" w:hAnsiTheme="minorHAnsi" w:cstheme="minorHAnsi"/>
            <w:sz w:val="22"/>
            <w:szCs w:val="22"/>
          </w:rPr>
          <w:t>art. 158 da Lei nº 14.133, de 2021</w:t>
        </w:r>
      </w:hyperlink>
      <w:r>
        <w:rPr>
          <w:rFonts w:asciiTheme="minorHAnsi" w:hAnsiTheme="minorHAnsi" w:cstheme="minorHAnsi"/>
          <w:sz w:val="22"/>
          <w:szCs w:val="22"/>
        </w:rPr>
        <w:t>, para as penalidades de impedimento de licitar e contratar e de declaração de inidoneidade para licitar ou contratar.</w:t>
      </w:r>
    </w:p>
    <w:p w14:paraId="482C10F0"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Na aplicação das sanções serão considerados (</w:t>
      </w:r>
      <w:hyperlink r:id="rId60" w:anchor="art156§1" w:history="1">
        <w:r>
          <w:rPr>
            <w:rStyle w:val="Hyperlink"/>
            <w:rFonts w:asciiTheme="minorHAnsi" w:hAnsiTheme="minorHAnsi" w:cstheme="minorHAnsi"/>
            <w:sz w:val="22"/>
            <w:szCs w:val="22"/>
          </w:rPr>
          <w:t>art. 156, §1º, da Lei nº 14.133, de 2021</w:t>
        </w:r>
      </w:hyperlink>
      <w:r>
        <w:rPr>
          <w:rFonts w:asciiTheme="minorHAnsi" w:hAnsiTheme="minorHAnsi" w:cstheme="minorHAnsi"/>
          <w:sz w:val="22"/>
          <w:szCs w:val="22"/>
        </w:rPr>
        <w:t>):</w:t>
      </w:r>
    </w:p>
    <w:p w14:paraId="5D92A72B" w14:textId="77777777" w:rsidR="00404D08" w:rsidRDefault="00000000">
      <w:pPr>
        <w:numPr>
          <w:ilvl w:val="0"/>
          <w:numId w:val="19"/>
        </w:numPr>
        <w:spacing w:before="120" w:afterLines="120" w:after="288" w:line="312" w:lineRule="auto"/>
        <w:ind w:left="567" w:hanging="567"/>
        <w:contextualSpacing/>
        <w:jc w:val="both"/>
        <w:rPr>
          <w:rFonts w:asciiTheme="minorHAnsi" w:eastAsia="Arial" w:hAnsiTheme="minorHAnsi" w:cstheme="minorHAnsi"/>
          <w:sz w:val="22"/>
          <w:szCs w:val="22"/>
        </w:rPr>
      </w:pPr>
      <w:r>
        <w:rPr>
          <w:rFonts w:asciiTheme="minorHAnsi" w:eastAsia="Arial" w:hAnsiTheme="minorHAnsi" w:cstheme="minorHAnsi"/>
          <w:sz w:val="22"/>
          <w:szCs w:val="22"/>
        </w:rPr>
        <w:t>a natureza e a gravidade da infração cometida;</w:t>
      </w:r>
    </w:p>
    <w:p w14:paraId="5E24109C" w14:textId="77777777" w:rsidR="00404D08" w:rsidRDefault="00000000">
      <w:pPr>
        <w:numPr>
          <w:ilvl w:val="0"/>
          <w:numId w:val="19"/>
        </w:numPr>
        <w:spacing w:before="120" w:afterLines="120" w:after="288" w:line="312" w:lineRule="auto"/>
        <w:ind w:left="567" w:hanging="567"/>
        <w:contextualSpacing/>
        <w:jc w:val="both"/>
        <w:rPr>
          <w:rFonts w:asciiTheme="minorHAnsi" w:eastAsia="Arial" w:hAnsiTheme="minorHAnsi" w:cstheme="minorHAnsi"/>
          <w:sz w:val="22"/>
          <w:szCs w:val="22"/>
        </w:rPr>
      </w:pPr>
      <w:r>
        <w:rPr>
          <w:rFonts w:asciiTheme="minorHAnsi" w:eastAsia="Arial" w:hAnsiTheme="minorHAnsi" w:cstheme="minorHAnsi"/>
          <w:sz w:val="22"/>
          <w:szCs w:val="22"/>
        </w:rPr>
        <w:t>as peculiaridades do caso concreto;</w:t>
      </w:r>
    </w:p>
    <w:p w14:paraId="289E1168" w14:textId="77777777" w:rsidR="00404D08" w:rsidRDefault="00000000">
      <w:pPr>
        <w:numPr>
          <w:ilvl w:val="0"/>
          <w:numId w:val="19"/>
        </w:numPr>
        <w:spacing w:before="120" w:afterLines="120" w:after="288" w:line="312" w:lineRule="auto"/>
        <w:ind w:left="567" w:hanging="567"/>
        <w:contextualSpacing/>
        <w:jc w:val="both"/>
        <w:rPr>
          <w:rFonts w:asciiTheme="minorHAnsi" w:eastAsia="Arial" w:hAnsiTheme="minorHAnsi" w:cstheme="minorHAnsi"/>
          <w:sz w:val="22"/>
          <w:szCs w:val="22"/>
        </w:rPr>
      </w:pPr>
      <w:r>
        <w:rPr>
          <w:rFonts w:asciiTheme="minorHAnsi" w:eastAsia="Arial" w:hAnsiTheme="minorHAnsi" w:cstheme="minorHAnsi"/>
          <w:sz w:val="22"/>
          <w:szCs w:val="22"/>
        </w:rPr>
        <w:t>as circunstâncias agravantes ou atenuantes;</w:t>
      </w:r>
    </w:p>
    <w:p w14:paraId="530E895D" w14:textId="77777777" w:rsidR="00404D08" w:rsidRDefault="00000000">
      <w:pPr>
        <w:numPr>
          <w:ilvl w:val="0"/>
          <w:numId w:val="19"/>
        </w:numPr>
        <w:spacing w:before="120" w:afterLines="120" w:after="288" w:line="312" w:lineRule="auto"/>
        <w:ind w:left="567" w:hanging="567"/>
        <w:contextualSpacing/>
        <w:jc w:val="both"/>
        <w:rPr>
          <w:rFonts w:asciiTheme="minorHAnsi" w:eastAsia="Arial" w:hAnsiTheme="minorHAnsi" w:cstheme="minorHAnsi"/>
          <w:sz w:val="22"/>
          <w:szCs w:val="22"/>
        </w:rPr>
      </w:pPr>
      <w:r>
        <w:rPr>
          <w:rFonts w:asciiTheme="minorHAnsi" w:eastAsia="Arial" w:hAnsiTheme="minorHAnsi" w:cstheme="minorHAnsi"/>
          <w:sz w:val="22"/>
          <w:szCs w:val="22"/>
        </w:rPr>
        <w:t>os danos que dela provierem para o Contratante;</w:t>
      </w:r>
    </w:p>
    <w:p w14:paraId="6FB892AB" w14:textId="77777777" w:rsidR="00404D08" w:rsidRDefault="00000000">
      <w:pPr>
        <w:numPr>
          <w:ilvl w:val="0"/>
          <w:numId w:val="19"/>
        </w:numPr>
        <w:spacing w:before="120" w:afterLines="120" w:after="288" w:line="312" w:lineRule="auto"/>
        <w:ind w:left="567" w:hanging="567"/>
        <w:contextualSpacing/>
        <w:jc w:val="both"/>
        <w:rPr>
          <w:rFonts w:asciiTheme="minorHAnsi" w:eastAsia="Arial" w:hAnsiTheme="minorHAnsi" w:cstheme="minorHAnsi"/>
          <w:sz w:val="22"/>
          <w:szCs w:val="22"/>
        </w:rPr>
      </w:pPr>
      <w:r>
        <w:rPr>
          <w:rFonts w:asciiTheme="minorHAnsi" w:eastAsia="Arial" w:hAnsiTheme="minorHAnsi" w:cstheme="minorHAnsi"/>
          <w:sz w:val="22"/>
          <w:szCs w:val="22"/>
        </w:rPr>
        <w:t>a implantação ou o aperfeiçoamento de programa de integridade, conforme normas e orientações dos órgãos de controle.</w:t>
      </w:r>
    </w:p>
    <w:p w14:paraId="16DF9AD1"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Os atos previstos como infrações administrativas na </w:t>
      </w:r>
      <w:hyperlink r:id="rId61" w:history="1">
        <w:r>
          <w:rPr>
            <w:rStyle w:val="Hyperlink"/>
            <w:rFonts w:asciiTheme="minorHAnsi" w:hAnsiTheme="minorHAnsi" w:cstheme="minorHAnsi"/>
            <w:sz w:val="22"/>
            <w:szCs w:val="22"/>
          </w:rPr>
          <w:t>Lei nº 14.133, de 2021</w:t>
        </w:r>
      </w:hyperlink>
      <w:r>
        <w:rPr>
          <w:rFonts w:asciiTheme="minorHAnsi" w:hAnsiTheme="minorHAnsi" w:cstheme="minorHAnsi"/>
          <w:sz w:val="22"/>
          <w:szCs w:val="22"/>
        </w:rPr>
        <w:t xml:space="preserve">, ou em outras leis de licitações e contratos da Administração Pública que também sejam tipificados como atos lesivos </w:t>
      </w:r>
      <w:hyperlink r:id="rId62" w:history="1">
        <w:r>
          <w:rPr>
            <w:rStyle w:val="Hyperlink"/>
            <w:rFonts w:asciiTheme="minorHAnsi" w:hAnsiTheme="minorHAnsi" w:cstheme="minorHAnsi"/>
            <w:sz w:val="22"/>
            <w:szCs w:val="22"/>
          </w:rPr>
          <w:t>na Lei nº 12.846, de 2013</w:t>
        </w:r>
      </w:hyperlink>
      <w:r>
        <w:rPr>
          <w:rFonts w:asciiTheme="minorHAnsi" w:hAnsiTheme="minorHAnsi" w:cstheme="minorHAnsi"/>
          <w:sz w:val="22"/>
          <w:szCs w:val="22"/>
        </w:rPr>
        <w:t xml:space="preserve">, serão apurados e julgados conjuntamente, nos mesmos autos, observados o rito procedimental e autoridade competente definidos na referida </w:t>
      </w:r>
      <w:hyperlink r:id="rId63" w:anchor="art159" w:history="1">
        <w:r>
          <w:rPr>
            <w:rStyle w:val="Hyperlink"/>
            <w:rFonts w:asciiTheme="minorHAnsi" w:hAnsiTheme="minorHAnsi" w:cstheme="minorHAnsi"/>
            <w:sz w:val="22"/>
            <w:szCs w:val="22"/>
          </w:rPr>
          <w:t>Lei (art. 159</w:t>
        </w:r>
      </w:hyperlink>
      <w:r>
        <w:rPr>
          <w:rFonts w:asciiTheme="minorHAnsi" w:hAnsiTheme="minorHAnsi" w:cstheme="minorHAnsi"/>
          <w:sz w:val="22"/>
          <w:szCs w:val="22"/>
        </w:rPr>
        <w:t>).</w:t>
      </w:r>
    </w:p>
    <w:p w14:paraId="1B42FE99"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i/>
          <w:iCs/>
          <w:sz w:val="22"/>
          <w:szCs w:val="22"/>
        </w:rPr>
      </w:pPr>
      <w:r>
        <w:rPr>
          <w:rFonts w:asciiTheme="minorHAnsi" w:hAnsiTheme="minorHAnsi" w:cstheme="minorHAnsi"/>
          <w:sz w:val="22"/>
          <w:szCs w:val="22"/>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4" w:anchor="art160" w:history="1">
        <w:r>
          <w:rPr>
            <w:rStyle w:val="Hyperlink"/>
            <w:rFonts w:asciiTheme="minorHAnsi" w:hAnsiTheme="minorHAnsi" w:cstheme="minorHAnsi"/>
            <w:sz w:val="22"/>
            <w:szCs w:val="22"/>
          </w:rPr>
          <w:t>art. 160, da Lei nº 14.133, de 2021</w:t>
        </w:r>
      </w:hyperlink>
      <w:r>
        <w:rPr>
          <w:rFonts w:asciiTheme="minorHAnsi" w:hAnsiTheme="minorHAnsi" w:cstheme="minorHAnsi"/>
          <w:sz w:val="22"/>
          <w:szCs w:val="22"/>
        </w:rPr>
        <w:t>)</w:t>
      </w:r>
    </w:p>
    <w:p w14:paraId="742DEFAC"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i/>
          <w:iCs/>
          <w:sz w:val="22"/>
          <w:szCs w:val="22"/>
        </w:rPr>
      </w:pPr>
      <w:r>
        <w:rPr>
          <w:rFonts w:asciiTheme="minorHAnsi" w:hAnsiTheme="minorHAnsi" w:cstheme="minorHAnsi"/>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5" w:anchor="art161" w:history="1">
        <w:r>
          <w:rPr>
            <w:rStyle w:val="Hyperlink"/>
            <w:rFonts w:asciiTheme="minorHAnsi" w:hAnsiTheme="minorHAnsi" w:cstheme="minorHAnsi"/>
            <w:sz w:val="22"/>
            <w:szCs w:val="22"/>
          </w:rPr>
          <w:t>Art. 161, da Lei nº 14.133, de 2021</w:t>
        </w:r>
      </w:hyperlink>
      <w:r>
        <w:rPr>
          <w:rFonts w:asciiTheme="minorHAnsi" w:hAnsiTheme="minorHAnsi" w:cstheme="minorHAnsi"/>
          <w:sz w:val="22"/>
          <w:szCs w:val="22"/>
        </w:rPr>
        <w:t>)</w:t>
      </w:r>
    </w:p>
    <w:p w14:paraId="21508D40"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i/>
          <w:iCs/>
          <w:sz w:val="22"/>
          <w:szCs w:val="22"/>
        </w:rPr>
      </w:pPr>
      <w:r>
        <w:rPr>
          <w:rFonts w:asciiTheme="minorHAnsi" w:hAnsiTheme="minorHAnsi" w:cstheme="minorHAnsi"/>
          <w:sz w:val="22"/>
          <w:szCs w:val="22"/>
        </w:rPr>
        <w:t xml:space="preserve">As sanções de impedimento de licitar e contratar e declaração de inidoneidade para licitar ou contratar são passíveis de reabilitação na forma do </w:t>
      </w:r>
      <w:hyperlink r:id="rId66" w:anchor="art163" w:history="1">
        <w:r>
          <w:rPr>
            <w:rStyle w:val="Hyperlink"/>
            <w:rFonts w:asciiTheme="minorHAnsi" w:hAnsiTheme="minorHAnsi" w:cstheme="minorHAnsi"/>
            <w:sz w:val="22"/>
            <w:szCs w:val="22"/>
          </w:rPr>
          <w:t>art. 163 da Lei nº 14.133/21.</w:t>
        </w:r>
      </w:hyperlink>
    </w:p>
    <w:p w14:paraId="2A479C27"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67" w:history="1">
        <w:r>
          <w:rPr>
            <w:rStyle w:val="Hyperlink"/>
            <w:rFonts w:asciiTheme="minorHAnsi" w:hAnsiTheme="minorHAnsi" w:cstheme="minorHAnsi"/>
            <w:sz w:val="22"/>
            <w:szCs w:val="22"/>
          </w:rPr>
          <w:t>Instrução Normativa SEGES/ME nº 26, de 13 de abril de 2022</w:t>
        </w:r>
      </w:hyperlink>
      <w:r>
        <w:rPr>
          <w:rFonts w:asciiTheme="minorHAnsi" w:hAnsiTheme="minorHAnsi" w:cstheme="minorHAnsi"/>
          <w:sz w:val="22"/>
          <w:szCs w:val="22"/>
        </w:rPr>
        <w:t xml:space="preserve">. </w:t>
      </w:r>
    </w:p>
    <w:p w14:paraId="183E5E16" w14:textId="77777777" w:rsidR="00404D08" w:rsidRDefault="00000000">
      <w:pPr>
        <w:pStyle w:val="Nivel010"/>
        <w:numPr>
          <w:ilvl w:val="0"/>
          <w:numId w:val="16"/>
        </w:numPr>
        <w:tabs>
          <w:tab w:val="left" w:pos="360"/>
        </w:tabs>
        <w:spacing w:before="120" w:afterLines="120" w:after="288" w:line="312" w:lineRule="auto"/>
        <w:ind w:left="567" w:hanging="567"/>
        <w:rPr>
          <w:rFonts w:asciiTheme="minorHAnsi" w:hAnsiTheme="minorHAnsi" w:cstheme="minorHAnsi"/>
          <w:color w:val="FFFFFF" w:themeColor="background1"/>
          <w:sz w:val="22"/>
          <w:szCs w:val="22"/>
        </w:rPr>
      </w:pPr>
      <w:r>
        <w:rPr>
          <w:rFonts w:asciiTheme="minorHAnsi" w:hAnsiTheme="minorHAnsi" w:cstheme="minorHAnsi"/>
          <w:sz w:val="22"/>
          <w:szCs w:val="22"/>
        </w:rPr>
        <w:t>CLÁUSULA DÉCIMA TERCEIRA – DA EXTINÇÃO CONTRATUAL (</w:t>
      </w:r>
      <w:hyperlink r:id="rId68" w:anchor="art92" w:history="1">
        <w:r>
          <w:rPr>
            <w:rStyle w:val="Hyperlink"/>
            <w:rFonts w:asciiTheme="minorHAnsi" w:hAnsiTheme="minorHAnsi" w:cstheme="minorHAnsi"/>
            <w:sz w:val="22"/>
            <w:szCs w:val="22"/>
          </w:rPr>
          <w:t>art. 92, XIX</w:t>
        </w:r>
      </w:hyperlink>
      <w:r>
        <w:rPr>
          <w:rFonts w:asciiTheme="minorHAnsi" w:hAnsiTheme="minorHAnsi" w:cstheme="minorHAnsi"/>
          <w:sz w:val="22"/>
          <w:szCs w:val="22"/>
        </w:rPr>
        <w:t xml:space="preserve">) </w:t>
      </w:r>
    </w:p>
    <w:p w14:paraId="2BAC2445"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O contrato será extinto quando vencido o prazo nele estipulado, independentemente de terem sido cumpridas ou não as obrigações de ambas as partes contraentes.</w:t>
      </w:r>
    </w:p>
    <w:p w14:paraId="05F84057"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O contrato poderá ser extinto antes do prazo nele fixado, sem ônus para o contratante, quando esta não dispuser de créditos orçamentários para sua continuidade ou quando entender que o contrato não mais lhe oferece vantagem.</w:t>
      </w:r>
    </w:p>
    <w:p w14:paraId="1FC8F1D8" w14:textId="77777777" w:rsidR="00404D08" w:rsidRDefault="00000000">
      <w:pPr>
        <w:pStyle w:val="Nivel2"/>
        <w:numPr>
          <w:ilvl w:val="2"/>
          <w:numId w:val="20"/>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A extinção nesta hipótese ocorrerá na próxima data de aniversário do contrato, desde que haja a notificação do contratado pelo contratante nesse sentido com pelo menos 2 (dois) meses de antecedência desse dia.</w:t>
      </w:r>
    </w:p>
    <w:p w14:paraId="7AF2B3B2" w14:textId="77777777" w:rsidR="00404D08" w:rsidRDefault="00000000">
      <w:pPr>
        <w:pStyle w:val="Nivel2"/>
        <w:numPr>
          <w:ilvl w:val="2"/>
          <w:numId w:val="20"/>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Caso a notificação da não-continuidade do contrato de que trata este subitem ocorra com menos de 2 (dois) meses da data de aniversário, a extinção contratual ocorrerá após 2 (dois) meses da data da comunicação.</w:t>
      </w:r>
    </w:p>
    <w:p w14:paraId="4BE4B7C3"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lastRenderedPageBreak/>
        <w:t xml:space="preserve">O contrato poderá ser extinto antes de cumpridas as obrigações nele estipuladas, ou antes do prazo nele fixado, por algum dos motivos previstos no </w:t>
      </w:r>
      <w:hyperlink r:id="rId69" w:anchor="art137" w:history="1">
        <w:r>
          <w:rPr>
            <w:rStyle w:val="Hyperlink"/>
            <w:rFonts w:asciiTheme="minorHAnsi" w:hAnsiTheme="minorHAnsi" w:cstheme="minorHAnsi"/>
            <w:sz w:val="22"/>
            <w:szCs w:val="22"/>
          </w:rPr>
          <w:t>artigo 137 da Lei nº 14.133/21</w:t>
        </w:r>
      </w:hyperlink>
      <w:r>
        <w:rPr>
          <w:rFonts w:asciiTheme="minorHAnsi" w:hAnsiTheme="minorHAnsi" w:cstheme="minorHAnsi"/>
          <w:sz w:val="22"/>
          <w:szCs w:val="22"/>
        </w:rPr>
        <w:t xml:space="preserve">, bem como amigavelmente, </w:t>
      </w:r>
      <w:r>
        <w:rPr>
          <w:rFonts w:asciiTheme="minorHAnsi" w:hAnsiTheme="minorHAnsi" w:cstheme="minorHAnsi"/>
          <w:color w:val="000000" w:themeColor="text1"/>
          <w:sz w:val="22"/>
          <w:szCs w:val="22"/>
        </w:rPr>
        <w:t>assegurados o contraditório e a ampla defesa</w:t>
      </w:r>
      <w:r>
        <w:rPr>
          <w:rFonts w:asciiTheme="minorHAnsi" w:hAnsiTheme="minorHAnsi" w:cstheme="minorHAnsi"/>
          <w:sz w:val="22"/>
          <w:szCs w:val="22"/>
        </w:rPr>
        <w:t>.</w:t>
      </w:r>
    </w:p>
    <w:p w14:paraId="206A96AC" w14:textId="77777777" w:rsidR="00404D08" w:rsidRDefault="00000000">
      <w:pPr>
        <w:pStyle w:val="Nivel3"/>
        <w:numPr>
          <w:ilvl w:val="2"/>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Nesta hipótese, aplicam-se também os </w:t>
      </w:r>
      <w:hyperlink r:id="rId70" w:anchor="art138" w:history="1">
        <w:r>
          <w:rPr>
            <w:rStyle w:val="Hyperlink"/>
            <w:rFonts w:asciiTheme="minorHAnsi" w:hAnsiTheme="minorHAnsi" w:cstheme="minorHAnsi"/>
            <w:sz w:val="22"/>
            <w:szCs w:val="22"/>
          </w:rPr>
          <w:t>artigos 138 e 139</w:t>
        </w:r>
      </w:hyperlink>
      <w:r>
        <w:rPr>
          <w:rFonts w:asciiTheme="minorHAnsi" w:hAnsiTheme="minorHAnsi" w:cstheme="minorHAnsi"/>
          <w:sz w:val="22"/>
          <w:szCs w:val="22"/>
        </w:rPr>
        <w:t xml:space="preserve"> da mesma Lei.</w:t>
      </w:r>
    </w:p>
    <w:p w14:paraId="34230E5D" w14:textId="77777777" w:rsidR="00404D08" w:rsidRDefault="00000000">
      <w:pPr>
        <w:pStyle w:val="Nivel3"/>
        <w:numPr>
          <w:ilvl w:val="2"/>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A </w:t>
      </w:r>
      <w:r>
        <w:rPr>
          <w:rFonts w:asciiTheme="minorHAnsi" w:hAnsiTheme="minorHAnsi" w:cstheme="minorHAnsi"/>
          <w:color w:val="000000" w:themeColor="text1"/>
          <w:sz w:val="22"/>
          <w:szCs w:val="22"/>
        </w:rPr>
        <w:t>alteração social ou a modificação da finalidade ou da estrutura da empresa</w:t>
      </w:r>
      <w:r>
        <w:rPr>
          <w:rFonts w:asciiTheme="minorHAnsi" w:hAnsiTheme="minorHAnsi" w:cstheme="minorHAnsi"/>
          <w:sz w:val="22"/>
          <w:szCs w:val="22"/>
        </w:rPr>
        <w:t xml:space="preserve"> não ensejará a extinção se não </w:t>
      </w:r>
      <w:r>
        <w:rPr>
          <w:rFonts w:asciiTheme="minorHAnsi" w:hAnsiTheme="minorHAnsi" w:cstheme="minorHAnsi"/>
          <w:color w:val="000000" w:themeColor="text1"/>
          <w:sz w:val="22"/>
          <w:szCs w:val="22"/>
        </w:rPr>
        <w:t>restringir sua capacidade de concluir o contrato.</w:t>
      </w:r>
    </w:p>
    <w:p w14:paraId="3FEAE35F" w14:textId="77777777" w:rsidR="00404D08" w:rsidRDefault="00000000">
      <w:pPr>
        <w:pStyle w:val="Nivel4"/>
        <w:numPr>
          <w:ilvl w:val="3"/>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color w:val="000000" w:themeColor="text1"/>
          <w:sz w:val="22"/>
          <w:szCs w:val="22"/>
        </w:rPr>
        <w:t xml:space="preserve">Se a operação </w:t>
      </w:r>
      <w:r>
        <w:rPr>
          <w:rFonts w:asciiTheme="minorHAnsi" w:hAnsiTheme="minorHAnsi" w:cstheme="minorHAnsi"/>
          <w:sz w:val="22"/>
          <w:szCs w:val="22"/>
        </w:rPr>
        <w:t>implicar mudança da pessoa jurídica contratada, deverá ser formalizado termo aditivo para alteração subjetiva.</w:t>
      </w:r>
    </w:p>
    <w:p w14:paraId="31218855"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O termo de extinção, sempre que possível, será precedido:</w:t>
      </w:r>
    </w:p>
    <w:p w14:paraId="6E77F008" w14:textId="77777777" w:rsidR="00404D08" w:rsidRDefault="00000000">
      <w:pPr>
        <w:pStyle w:val="Nivel3"/>
        <w:numPr>
          <w:ilvl w:val="2"/>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Balanço dos eventos contratuais já cumpridos ou parcialmente cumpridos;</w:t>
      </w:r>
    </w:p>
    <w:p w14:paraId="0A4043DE" w14:textId="77777777" w:rsidR="00404D08" w:rsidRDefault="00000000">
      <w:pPr>
        <w:pStyle w:val="Nivel3"/>
        <w:numPr>
          <w:ilvl w:val="2"/>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Relação dos pagamentos já efetuados e ainda devidos;</w:t>
      </w:r>
    </w:p>
    <w:p w14:paraId="5E7850EC" w14:textId="77777777" w:rsidR="00404D08" w:rsidRDefault="00000000">
      <w:pPr>
        <w:pStyle w:val="Nivel3"/>
        <w:numPr>
          <w:ilvl w:val="2"/>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Indenizações e multas.</w:t>
      </w:r>
    </w:p>
    <w:p w14:paraId="48C54D31"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A extinção do contrato não configura óbice para o reconhecimento do desequilíbrio econômico-financeiro, hipótese em que será concedida indenização por meio de termo indenizatório (</w:t>
      </w:r>
      <w:hyperlink r:id="rId71" w:anchor="art131" w:history="1">
        <w:r>
          <w:rPr>
            <w:rStyle w:val="Hyperlink"/>
            <w:rFonts w:asciiTheme="minorHAnsi" w:hAnsiTheme="minorHAnsi" w:cstheme="minorHAnsi"/>
            <w:sz w:val="22"/>
            <w:szCs w:val="22"/>
          </w:rPr>
          <w:t xml:space="preserve">art. 131, </w:t>
        </w:r>
        <w:r>
          <w:rPr>
            <w:rStyle w:val="Hyperlink"/>
            <w:rFonts w:asciiTheme="minorHAnsi" w:hAnsiTheme="minorHAnsi" w:cstheme="minorHAnsi"/>
            <w:iCs/>
            <w:sz w:val="22"/>
            <w:szCs w:val="22"/>
          </w:rPr>
          <w:t xml:space="preserve">caput, </w:t>
        </w:r>
        <w:r>
          <w:rPr>
            <w:rStyle w:val="Hyperlink"/>
            <w:rFonts w:asciiTheme="minorHAnsi" w:hAnsiTheme="minorHAnsi" w:cstheme="minorHAnsi"/>
            <w:sz w:val="22"/>
            <w:szCs w:val="22"/>
          </w:rPr>
          <w:t>da Lei n.º 14.133, de 2021).</w:t>
        </w:r>
      </w:hyperlink>
      <w:r>
        <w:rPr>
          <w:rFonts w:asciiTheme="minorHAnsi" w:hAnsiTheme="minorHAnsi" w:cstheme="minorHAnsi"/>
          <w:sz w:val="22"/>
          <w:szCs w:val="22"/>
        </w:rPr>
        <w:t xml:space="preserve"> </w:t>
      </w:r>
    </w:p>
    <w:p w14:paraId="542F3A60"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O não pagamento dos salários e das verbas trabalhistas, e o não recolhimento das contribuições sociais, previdenciárias e para com o FGTS poderá dar ensejo à extinção do contrato por ato unilateral e escrito do contratante e à aplicação das penalidades cabíveis. </w:t>
      </w:r>
    </w:p>
    <w:p w14:paraId="32DF4C18"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O contratante poderá conceder prazo para que o contratado regularize suas obrigações trabalhistas ou suas condições de habilitação, sob pena de extinção contratual, quando não identificar má-fé ou a incapacidade de correção.</w:t>
      </w:r>
    </w:p>
    <w:p w14:paraId="3B76F8AE"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5E2EFB62"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Até que o contratado comprove o disposto no item anterior, o contratante reterá:</w:t>
      </w:r>
    </w:p>
    <w:p w14:paraId="4B6EC614" w14:textId="77777777" w:rsidR="00404D08" w:rsidRDefault="00000000">
      <w:pPr>
        <w:pStyle w:val="Nivel2"/>
        <w:numPr>
          <w:ilvl w:val="2"/>
          <w:numId w:val="21"/>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a garantia contratual - prestada com cobertura para os casos de descumprimento das obrigações de natureza trabalhista e previdenciária, incluídas as verbas rescisórias -, a qual será executada para </w:t>
      </w:r>
      <w:r>
        <w:rPr>
          <w:rFonts w:asciiTheme="minorHAnsi" w:hAnsiTheme="minorHAnsi" w:cstheme="minorHAnsi"/>
          <w:sz w:val="22"/>
          <w:szCs w:val="22"/>
        </w:rPr>
        <w:lastRenderedPageBreak/>
        <w:t>reembolso dos prejuízos sofridos pela Administração, nos termos da legislação que rege a matéria (</w:t>
      </w:r>
      <w:hyperlink r:id="rId72" w:anchor="art121§3" w:history="1">
        <w:r>
          <w:rPr>
            <w:rStyle w:val="Hyperlink"/>
            <w:rFonts w:asciiTheme="minorHAnsi" w:hAnsiTheme="minorHAnsi" w:cstheme="minorHAnsi"/>
            <w:sz w:val="22"/>
            <w:szCs w:val="22"/>
          </w:rPr>
          <w:t>art. 121, § 3º, I,</w:t>
        </w:r>
      </w:hyperlink>
      <w:r>
        <w:rPr>
          <w:rFonts w:asciiTheme="minorHAnsi" w:hAnsiTheme="minorHAnsi" w:cstheme="minorHAnsi"/>
          <w:sz w:val="22"/>
          <w:szCs w:val="22"/>
        </w:rPr>
        <w:t xml:space="preserve"> e </w:t>
      </w:r>
      <w:hyperlink r:id="rId73" w:anchor="art139" w:history="1">
        <w:r>
          <w:rPr>
            <w:rStyle w:val="Hyperlink"/>
            <w:rFonts w:asciiTheme="minorHAnsi" w:hAnsiTheme="minorHAnsi" w:cstheme="minorHAnsi"/>
            <w:sz w:val="22"/>
            <w:szCs w:val="22"/>
          </w:rPr>
          <w:t>art. 139, III, b</w:t>
        </w:r>
      </w:hyperlink>
      <w:r>
        <w:rPr>
          <w:rFonts w:asciiTheme="minorHAnsi" w:hAnsiTheme="minorHAnsi" w:cstheme="minorHAnsi"/>
          <w:sz w:val="22"/>
          <w:szCs w:val="22"/>
        </w:rPr>
        <w:t>, da Lei n.º 14.133/2021); e </w:t>
      </w:r>
    </w:p>
    <w:p w14:paraId="73B1C12F" w14:textId="77777777" w:rsidR="00404D08" w:rsidRDefault="00000000">
      <w:pPr>
        <w:pStyle w:val="Nivel2"/>
        <w:numPr>
          <w:ilvl w:val="2"/>
          <w:numId w:val="21"/>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os valores das Notas fiscais ou Faturas correspondentes em valor proporcional ao inadimplemento, até que a situação seja regularizada.</w:t>
      </w:r>
    </w:p>
    <w:p w14:paraId="054D12B3"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Na hipótese do subitem anterior, não havendo quitação das obrigações por parte do contratado no prazo de </w:t>
      </w:r>
      <w:r>
        <w:rPr>
          <w:rFonts w:asciiTheme="minorHAnsi" w:hAnsiTheme="minorHAnsi" w:cstheme="minorHAnsi"/>
          <w:iCs/>
          <w:color w:val="000000" w:themeColor="text1"/>
          <w:sz w:val="22"/>
          <w:szCs w:val="22"/>
        </w:rPr>
        <w:t>15 (quinze)</w:t>
      </w:r>
      <w:r>
        <w:rPr>
          <w:rFonts w:asciiTheme="minorHAnsi" w:hAnsiTheme="minorHAnsi" w:cstheme="minorHAnsi"/>
          <w:color w:val="000000" w:themeColor="text1"/>
          <w:sz w:val="22"/>
          <w:szCs w:val="22"/>
        </w:rPr>
        <w:t xml:space="preserve"> </w:t>
      </w:r>
      <w:r>
        <w:rPr>
          <w:rFonts w:asciiTheme="minorHAnsi" w:hAnsiTheme="minorHAnsi" w:cstheme="minorHAnsi"/>
          <w:sz w:val="22"/>
          <w:szCs w:val="22"/>
        </w:rPr>
        <w:t>dias, o contratante poderá efetuar o pagamento das obrigações diretamente aos empregados que tenham participado da execução dos serviços objeto do contrato, deduzindo o respectivo valor do pagamento devido ao contratado (</w:t>
      </w:r>
      <w:hyperlink r:id="rId74" w:anchor="art121§3" w:history="1">
        <w:r>
          <w:rPr>
            <w:rStyle w:val="Hyperlink"/>
            <w:rFonts w:asciiTheme="minorHAnsi" w:hAnsiTheme="minorHAnsi" w:cstheme="minorHAnsi"/>
            <w:sz w:val="22"/>
            <w:szCs w:val="22"/>
          </w:rPr>
          <w:t>art. 121, §3º, inciso II, da Lei nº 14.133/2021</w:t>
        </w:r>
      </w:hyperlink>
      <w:r>
        <w:rPr>
          <w:rFonts w:asciiTheme="minorHAnsi" w:hAnsiTheme="minorHAnsi" w:cstheme="minorHAnsi"/>
          <w:sz w:val="22"/>
          <w:szCs w:val="22"/>
        </w:rPr>
        <w:t>).</w:t>
      </w:r>
    </w:p>
    <w:p w14:paraId="78D322C8"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O contratante poderá ainda:</w:t>
      </w:r>
    </w:p>
    <w:p w14:paraId="56EA56FB" w14:textId="77777777" w:rsidR="00404D08" w:rsidRDefault="00000000">
      <w:pPr>
        <w:pStyle w:val="Nivel2"/>
        <w:numPr>
          <w:ilvl w:val="2"/>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 nos casos de obrigação de pagamento de multa pelo contratado, reter a garantia prestada a ser executada (</w:t>
      </w:r>
      <w:hyperlink r:id="rId75" w:anchor="art139" w:history="1">
        <w:r>
          <w:rPr>
            <w:rStyle w:val="Hyperlink"/>
            <w:rFonts w:asciiTheme="minorHAnsi" w:hAnsiTheme="minorHAnsi" w:cstheme="minorHAnsi"/>
            <w:sz w:val="22"/>
            <w:szCs w:val="22"/>
          </w:rPr>
          <w:t>art. 139, III, “c”, da Lei n.º 14.133/2021</w:t>
        </w:r>
      </w:hyperlink>
      <w:r>
        <w:rPr>
          <w:rFonts w:asciiTheme="minorHAnsi" w:hAnsiTheme="minorHAnsi" w:cstheme="minorHAnsi"/>
          <w:sz w:val="22"/>
          <w:szCs w:val="22"/>
        </w:rPr>
        <w:t>), conforme legislação que rege a matéria; e</w:t>
      </w:r>
    </w:p>
    <w:p w14:paraId="7717ACA1" w14:textId="77777777" w:rsidR="00404D08" w:rsidRDefault="00000000">
      <w:pPr>
        <w:pStyle w:val="Nivel2"/>
        <w:numPr>
          <w:ilvl w:val="2"/>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nos casos em que houver necessidade de ressarcimento de prejuízos causados à Administração, nos termos </w:t>
      </w:r>
      <w:hyperlink r:id="rId76" w:anchor="art139" w:history="1">
        <w:r>
          <w:rPr>
            <w:rStyle w:val="Hyperlink"/>
            <w:rFonts w:asciiTheme="minorHAnsi" w:hAnsiTheme="minorHAnsi" w:cstheme="minorHAnsi"/>
            <w:sz w:val="22"/>
            <w:szCs w:val="22"/>
          </w:rPr>
          <w:t>do inciso IV do art. 139 da Lei n.º 14.133, de 2021</w:t>
        </w:r>
      </w:hyperlink>
      <w:r>
        <w:rPr>
          <w:rFonts w:asciiTheme="minorHAnsi" w:hAnsiTheme="minorHAnsi" w:cstheme="minorHAnsi"/>
          <w:sz w:val="22"/>
          <w:szCs w:val="22"/>
        </w:rPr>
        <w:t>, reter os eventuais créditos existentes em favor do contratado decorrentes do contrato.</w:t>
      </w:r>
    </w:p>
    <w:p w14:paraId="62468756"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w:t>
      </w:r>
      <w:hyperlink r:id="rId77" w:anchor="art14" w:history="1">
        <w:r>
          <w:rPr>
            <w:rStyle w:val="Hyperlink"/>
            <w:rFonts w:asciiTheme="minorHAnsi" w:hAnsiTheme="minorHAnsi" w:cstheme="minorHAnsi"/>
            <w:sz w:val="22"/>
            <w:szCs w:val="22"/>
          </w:rPr>
          <w:t>art. 14, inciso IV, da Lei n.º 14.133, de 2021</w:t>
        </w:r>
      </w:hyperlink>
      <w:r>
        <w:rPr>
          <w:rFonts w:asciiTheme="minorHAnsi" w:hAnsiTheme="minorHAnsi" w:cstheme="minorHAnsi"/>
          <w:sz w:val="22"/>
          <w:szCs w:val="22"/>
        </w:rPr>
        <w:t>).</w:t>
      </w:r>
    </w:p>
    <w:p w14:paraId="46C2C8FB" w14:textId="77777777" w:rsidR="00404D08" w:rsidRDefault="00000000">
      <w:pPr>
        <w:pStyle w:val="Nivel010"/>
        <w:numPr>
          <w:ilvl w:val="0"/>
          <w:numId w:val="16"/>
        </w:numPr>
        <w:tabs>
          <w:tab w:val="left" w:pos="360"/>
        </w:tabs>
        <w:spacing w:before="120" w:afterLines="120" w:after="288" w:line="312" w:lineRule="auto"/>
        <w:ind w:left="567" w:hanging="567"/>
        <w:rPr>
          <w:rFonts w:asciiTheme="minorHAnsi" w:hAnsiTheme="minorHAnsi" w:cstheme="minorHAnsi"/>
          <w:color w:val="FFFFFF" w:themeColor="background1"/>
          <w:sz w:val="22"/>
          <w:szCs w:val="22"/>
        </w:rPr>
      </w:pPr>
      <w:r>
        <w:rPr>
          <w:rFonts w:asciiTheme="minorHAnsi" w:hAnsiTheme="minorHAnsi" w:cstheme="minorHAnsi"/>
          <w:sz w:val="22"/>
          <w:szCs w:val="22"/>
        </w:rPr>
        <w:t>CLÁUSULA DÉCIMA QUARTA – ALTERAÇÕES</w:t>
      </w:r>
    </w:p>
    <w:p w14:paraId="39A51DC0"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Eventuais alterações contratuais reger-se-ão pela disciplina dos </w:t>
      </w:r>
      <w:hyperlink r:id="rId78" w:anchor="art124" w:history="1">
        <w:r>
          <w:rPr>
            <w:rStyle w:val="Hyperlink"/>
            <w:rFonts w:asciiTheme="minorHAnsi" w:hAnsiTheme="minorHAnsi" w:cstheme="minorHAnsi"/>
            <w:sz w:val="22"/>
            <w:szCs w:val="22"/>
          </w:rPr>
          <w:t>arts. 124 e seguintes da Lei nº 14.133, de 2021</w:t>
        </w:r>
      </w:hyperlink>
      <w:r>
        <w:rPr>
          <w:rFonts w:asciiTheme="minorHAnsi" w:hAnsiTheme="minorHAnsi" w:cstheme="minorHAnsi"/>
          <w:sz w:val="22"/>
          <w:szCs w:val="22"/>
        </w:rPr>
        <w:t>.</w:t>
      </w:r>
    </w:p>
    <w:p w14:paraId="0E731D0E"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712E4E71" w14:textId="77777777" w:rsidR="00404D08" w:rsidRDefault="00000000">
      <w:pPr>
        <w:pStyle w:val="Nivel2"/>
        <w:numPr>
          <w:ilvl w:val="1"/>
          <w:numId w:val="16"/>
        </w:numPr>
        <w:ind w:left="567" w:hanging="567"/>
        <w:rPr>
          <w:rFonts w:asciiTheme="minorHAnsi" w:hAnsiTheme="minorHAnsi" w:cstheme="minorHAnsi"/>
          <w:sz w:val="22"/>
          <w:szCs w:val="22"/>
        </w:rPr>
      </w:pPr>
      <w:r>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w:t>
      </w:r>
      <w:hyperlink r:id="rId79" w:anchor="art132" w:history="1">
        <w:r>
          <w:rPr>
            <w:rStyle w:val="Hyperlink"/>
            <w:rFonts w:asciiTheme="minorHAnsi" w:hAnsiTheme="minorHAnsi" w:cstheme="minorHAnsi"/>
            <w:sz w:val="22"/>
            <w:szCs w:val="22"/>
          </w:rPr>
          <w:t>art. 132 da Lei nº 14.133, de 2021</w:t>
        </w:r>
      </w:hyperlink>
      <w:r>
        <w:rPr>
          <w:rFonts w:asciiTheme="minorHAnsi" w:hAnsiTheme="minorHAnsi" w:cstheme="minorHAnsi"/>
          <w:sz w:val="22"/>
          <w:szCs w:val="22"/>
        </w:rPr>
        <w:t>).</w:t>
      </w:r>
    </w:p>
    <w:p w14:paraId="18843346"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lastRenderedPageBreak/>
        <w:t xml:space="preserve">Registros que não caracterizam alteração do contrato podem ser realizados por simples apostila, dispensada a celebração de termo aditivo, na forma do </w:t>
      </w:r>
      <w:hyperlink r:id="rId80" w:anchor="art136" w:history="1">
        <w:r>
          <w:rPr>
            <w:rStyle w:val="Hyperlink"/>
            <w:rFonts w:asciiTheme="minorHAnsi" w:hAnsiTheme="minorHAnsi" w:cstheme="minorHAnsi"/>
            <w:sz w:val="22"/>
            <w:szCs w:val="22"/>
          </w:rPr>
          <w:t>art. 136 da Lei nº 14.133, de 2021</w:t>
        </w:r>
      </w:hyperlink>
      <w:r>
        <w:rPr>
          <w:rFonts w:asciiTheme="minorHAnsi" w:hAnsiTheme="minorHAnsi" w:cstheme="minorHAnsi"/>
          <w:sz w:val="22"/>
          <w:szCs w:val="22"/>
        </w:rPr>
        <w:t>.</w:t>
      </w:r>
    </w:p>
    <w:p w14:paraId="22AFBF66" w14:textId="77777777" w:rsidR="00404D08" w:rsidRDefault="00000000">
      <w:pPr>
        <w:pStyle w:val="Nivel010"/>
        <w:numPr>
          <w:ilvl w:val="0"/>
          <w:numId w:val="16"/>
        </w:numPr>
        <w:tabs>
          <w:tab w:val="left" w:pos="360"/>
        </w:tabs>
        <w:spacing w:before="120"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CLÁUSULA DÉCIMA QUINTA – DOTAÇÃO ORÇAMENTÁRIA (</w:t>
      </w:r>
      <w:hyperlink r:id="rId81" w:anchor="art92" w:history="1">
        <w:r>
          <w:rPr>
            <w:rStyle w:val="Hyperlink"/>
            <w:rFonts w:asciiTheme="minorHAnsi" w:hAnsiTheme="minorHAnsi" w:cstheme="minorHAnsi"/>
            <w:sz w:val="22"/>
            <w:szCs w:val="22"/>
          </w:rPr>
          <w:t>art. 92, VIII</w:t>
        </w:r>
      </w:hyperlink>
      <w:r>
        <w:rPr>
          <w:rFonts w:asciiTheme="minorHAnsi" w:hAnsiTheme="minorHAnsi" w:cstheme="minorHAnsi"/>
          <w:sz w:val="22"/>
          <w:szCs w:val="22"/>
        </w:rPr>
        <w:t>)</w:t>
      </w:r>
    </w:p>
    <w:p w14:paraId="4B4E8405"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As despesas decorrentes da presente contratação correrão à conta de recursos específicos consignados no Orçamento Geral da União deste exercício, na dotação abaixo discriminada:</w:t>
      </w:r>
    </w:p>
    <w:p w14:paraId="1E2B9719" w14:textId="77777777" w:rsidR="00404D08" w:rsidRDefault="00000000">
      <w:pPr>
        <w:numPr>
          <w:ilvl w:val="1"/>
          <w:numId w:val="22"/>
        </w:numPr>
        <w:spacing w:before="120" w:afterLines="120" w:after="288" w:line="312" w:lineRule="auto"/>
        <w:ind w:left="567" w:hanging="567"/>
        <w:jc w:val="both"/>
        <w:rPr>
          <w:rFonts w:asciiTheme="minorHAnsi" w:eastAsia="Arial" w:hAnsiTheme="minorHAnsi" w:cstheme="minorHAnsi"/>
          <w:sz w:val="22"/>
          <w:szCs w:val="22"/>
        </w:rPr>
      </w:pPr>
      <w:r>
        <w:rPr>
          <w:rFonts w:asciiTheme="minorHAnsi" w:eastAsia="Arial" w:hAnsiTheme="minorHAnsi" w:cstheme="minorHAnsi"/>
          <w:sz w:val="22"/>
          <w:szCs w:val="22"/>
        </w:rPr>
        <w:t xml:space="preserve">Gestão/Unidade: </w:t>
      </w:r>
    </w:p>
    <w:p w14:paraId="09506769" w14:textId="77777777" w:rsidR="00404D08" w:rsidRDefault="00000000">
      <w:pPr>
        <w:numPr>
          <w:ilvl w:val="1"/>
          <w:numId w:val="22"/>
        </w:numPr>
        <w:spacing w:before="120" w:afterLines="120" w:after="288" w:line="312" w:lineRule="auto"/>
        <w:ind w:left="567" w:hanging="567"/>
        <w:jc w:val="both"/>
        <w:rPr>
          <w:rFonts w:asciiTheme="minorHAnsi" w:eastAsia="Arial" w:hAnsiTheme="minorHAnsi" w:cstheme="minorHAnsi"/>
          <w:sz w:val="22"/>
          <w:szCs w:val="22"/>
        </w:rPr>
      </w:pPr>
      <w:r>
        <w:rPr>
          <w:rFonts w:asciiTheme="minorHAnsi" w:eastAsia="Arial" w:hAnsiTheme="minorHAnsi" w:cstheme="minorHAnsi"/>
          <w:sz w:val="22"/>
          <w:szCs w:val="22"/>
        </w:rPr>
        <w:t xml:space="preserve">Fonte de Recursos:  </w:t>
      </w:r>
    </w:p>
    <w:p w14:paraId="6C9BEC00" w14:textId="77777777" w:rsidR="00404D08" w:rsidRDefault="00000000">
      <w:pPr>
        <w:numPr>
          <w:ilvl w:val="1"/>
          <w:numId w:val="22"/>
        </w:numPr>
        <w:spacing w:before="120" w:afterLines="120" w:after="288" w:line="312" w:lineRule="auto"/>
        <w:ind w:left="567" w:hanging="567"/>
        <w:jc w:val="both"/>
        <w:rPr>
          <w:rFonts w:asciiTheme="minorHAnsi" w:eastAsia="Arial" w:hAnsiTheme="minorHAnsi" w:cstheme="minorHAnsi"/>
          <w:sz w:val="22"/>
          <w:szCs w:val="22"/>
        </w:rPr>
      </w:pPr>
      <w:r>
        <w:rPr>
          <w:rFonts w:asciiTheme="minorHAnsi" w:eastAsia="Arial" w:hAnsiTheme="minorHAnsi" w:cstheme="minorHAnsi"/>
          <w:sz w:val="22"/>
          <w:szCs w:val="22"/>
        </w:rPr>
        <w:t xml:space="preserve">Programa de Trabalho: </w:t>
      </w:r>
    </w:p>
    <w:p w14:paraId="34B9B96E" w14:textId="77777777" w:rsidR="00404D08" w:rsidRDefault="00000000">
      <w:pPr>
        <w:numPr>
          <w:ilvl w:val="1"/>
          <w:numId w:val="22"/>
        </w:numPr>
        <w:spacing w:before="120" w:afterLines="120" w:after="288" w:line="312" w:lineRule="auto"/>
        <w:ind w:left="567" w:hanging="567"/>
        <w:jc w:val="both"/>
        <w:rPr>
          <w:rFonts w:asciiTheme="minorHAnsi" w:eastAsia="Arial" w:hAnsiTheme="minorHAnsi" w:cstheme="minorHAnsi"/>
          <w:sz w:val="22"/>
          <w:szCs w:val="22"/>
        </w:rPr>
      </w:pPr>
      <w:r>
        <w:rPr>
          <w:rFonts w:asciiTheme="minorHAnsi" w:eastAsia="Arial" w:hAnsiTheme="minorHAnsi" w:cstheme="minorHAnsi"/>
          <w:sz w:val="22"/>
          <w:szCs w:val="22"/>
        </w:rPr>
        <w:t xml:space="preserve">Elemento de Despesa: </w:t>
      </w:r>
    </w:p>
    <w:p w14:paraId="540B8D7F" w14:textId="77777777" w:rsidR="00404D08" w:rsidRDefault="00000000">
      <w:pPr>
        <w:numPr>
          <w:ilvl w:val="1"/>
          <w:numId w:val="22"/>
        </w:numPr>
        <w:spacing w:before="120" w:afterLines="120" w:after="288" w:line="312" w:lineRule="auto"/>
        <w:ind w:left="567" w:hanging="567"/>
        <w:jc w:val="both"/>
        <w:rPr>
          <w:rFonts w:asciiTheme="minorHAnsi" w:eastAsia="Arial" w:hAnsiTheme="minorHAnsi" w:cstheme="minorHAnsi"/>
          <w:sz w:val="22"/>
          <w:szCs w:val="22"/>
        </w:rPr>
      </w:pPr>
      <w:r>
        <w:rPr>
          <w:rFonts w:asciiTheme="minorHAnsi" w:eastAsia="Arial" w:hAnsiTheme="minorHAnsi" w:cstheme="minorHAnsi"/>
          <w:sz w:val="22"/>
          <w:szCs w:val="22"/>
        </w:rPr>
        <w:t xml:space="preserve">Plano Interno: </w:t>
      </w:r>
    </w:p>
    <w:p w14:paraId="5A40277D" w14:textId="77777777" w:rsidR="00404D08" w:rsidRDefault="00000000">
      <w:pPr>
        <w:numPr>
          <w:ilvl w:val="1"/>
          <w:numId w:val="22"/>
        </w:numPr>
        <w:spacing w:before="120" w:afterLines="120" w:after="288" w:line="312" w:lineRule="auto"/>
        <w:ind w:left="567" w:hanging="567"/>
        <w:jc w:val="both"/>
        <w:rPr>
          <w:rFonts w:asciiTheme="minorHAnsi" w:eastAsia="Arial" w:hAnsiTheme="minorHAnsi" w:cstheme="minorHAnsi"/>
          <w:sz w:val="22"/>
          <w:szCs w:val="22"/>
        </w:rPr>
      </w:pPr>
      <w:r>
        <w:rPr>
          <w:rFonts w:asciiTheme="minorHAnsi" w:eastAsia="Arial" w:hAnsiTheme="minorHAnsi" w:cstheme="minorHAnsi"/>
          <w:sz w:val="22"/>
          <w:szCs w:val="22"/>
        </w:rPr>
        <w:t>Nota de Empenho:</w:t>
      </w:r>
    </w:p>
    <w:p w14:paraId="6A37C4E4" w14:textId="77777777" w:rsidR="00404D08" w:rsidRDefault="00000000">
      <w:pPr>
        <w:pStyle w:val="Nvel2-Red"/>
        <w:numPr>
          <w:ilvl w:val="1"/>
          <w:numId w:val="16"/>
        </w:numPr>
        <w:spacing w:afterLines="120" w:after="288" w:line="312" w:lineRule="auto"/>
        <w:ind w:left="567" w:hanging="567"/>
        <w:rPr>
          <w:rFonts w:asciiTheme="minorHAnsi" w:hAnsiTheme="minorHAnsi" w:cstheme="minorHAnsi"/>
          <w:i w:val="0"/>
          <w:color w:val="000000" w:themeColor="text1"/>
          <w:sz w:val="22"/>
          <w:szCs w:val="22"/>
        </w:rPr>
      </w:pPr>
      <w:r>
        <w:rPr>
          <w:rFonts w:asciiTheme="minorHAnsi" w:hAnsiTheme="minorHAnsi" w:cstheme="minorHAnsi"/>
          <w:i w:val="0"/>
          <w:color w:val="000000" w:themeColor="text1"/>
          <w:sz w:val="22"/>
          <w:szCs w:val="22"/>
        </w:rPr>
        <w:t>A dotação relativa aos exercícios financeiros subsequentes será indicada após aprovação da Lei Orçamentária respectiva e liberação dos créditos correspondentes, mediante apostilamento.</w:t>
      </w:r>
    </w:p>
    <w:p w14:paraId="788960E7" w14:textId="77777777" w:rsidR="00404D08" w:rsidRDefault="00000000">
      <w:pPr>
        <w:pStyle w:val="Nivel010"/>
        <w:numPr>
          <w:ilvl w:val="0"/>
          <w:numId w:val="16"/>
        </w:numPr>
        <w:tabs>
          <w:tab w:val="left" w:pos="360"/>
        </w:tabs>
        <w:spacing w:before="120" w:afterLines="120" w:after="288" w:line="312" w:lineRule="auto"/>
        <w:ind w:left="567" w:hanging="567"/>
        <w:rPr>
          <w:rFonts w:asciiTheme="minorHAnsi" w:hAnsiTheme="minorHAnsi" w:cstheme="minorHAnsi"/>
          <w:color w:val="FFFFFF" w:themeColor="background1"/>
          <w:sz w:val="22"/>
          <w:szCs w:val="22"/>
        </w:rPr>
      </w:pPr>
      <w:r>
        <w:rPr>
          <w:rFonts w:asciiTheme="minorHAnsi" w:hAnsiTheme="minorHAnsi" w:cstheme="minorHAnsi"/>
          <w:sz w:val="22"/>
          <w:szCs w:val="22"/>
        </w:rPr>
        <w:t>CLÁUSULA DÉCIMA SEXTA – DOS CASOS OMISSOS (</w:t>
      </w:r>
      <w:hyperlink r:id="rId82" w:anchor="art92" w:history="1">
        <w:r>
          <w:rPr>
            <w:rStyle w:val="Hyperlink"/>
            <w:rFonts w:asciiTheme="minorHAnsi" w:hAnsiTheme="minorHAnsi" w:cstheme="minorHAnsi"/>
            <w:sz w:val="22"/>
            <w:szCs w:val="22"/>
          </w:rPr>
          <w:t>art. 92, III</w:t>
        </w:r>
      </w:hyperlink>
      <w:r>
        <w:rPr>
          <w:rFonts w:asciiTheme="minorHAnsi" w:hAnsiTheme="minorHAnsi" w:cstheme="minorHAnsi"/>
          <w:sz w:val="22"/>
          <w:szCs w:val="22"/>
        </w:rPr>
        <w:t>)</w:t>
      </w:r>
    </w:p>
    <w:p w14:paraId="49576458"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Os casos omissos serão decididos pelo contratante, segundo as disposições contidas na </w:t>
      </w:r>
      <w:hyperlink r:id="rId83" w:history="1">
        <w:r>
          <w:rPr>
            <w:rStyle w:val="Hyperlink"/>
            <w:rFonts w:asciiTheme="minorHAnsi" w:hAnsiTheme="minorHAnsi" w:cstheme="minorHAnsi"/>
            <w:sz w:val="22"/>
            <w:szCs w:val="22"/>
          </w:rPr>
          <w:t>Lei nº 14.133, de 2021</w:t>
        </w:r>
      </w:hyperlink>
      <w:r>
        <w:rPr>
          <w:rFonts w:asciiTheme="minorHAnsi" w:hAnsiTheme="minorHAnsi" w:cstheme="minorHAnsi"/>
          <w:sz w:val="22"/>
          <w:szCs w:val="22"/>
        </w:rPr>
        <w:t xml:space="preserve">, e demais normas federais aplicáveis e, subsidiariamente, segundo as disposições contidas na </w:t>
      </w:r>
      <w:hyperlink r:id="rId84" w:history="1">
        <w:r>
          <w:rPr>
            <w:rStyle w:val="Hyperlink"/>
            <w:rFonts w:asciiTheme="minorHAnsi" w:hAnsiTheme="minorHAnsi" w:cstheme="minorHAnsi"/>
            <w:sz w:val="22"/>
            <w:szCs w:val="22"/>
          </w:rPr>
          <w:t>Lei nº 8.078, de 1990 – Código de Defesa do Consumidor</w:t>
        </w:r>
      </w:hyperlink>
      <w:r>
        <w:rPr>
          <w:rFonts w:asciiTheme="minorHAnsi" w:hAnsiTheme="minorHAnsi" w:cstheme="minorHAnsi"/>
          <w:sz w:val="22"/>
          <w:szCs w:val="22"/>
        </w:rPr>
        <w:t xml:space="preserve"> – e normas e princípios gerais dos contratos.</w:t>
      </w:r>
    </w:p>
    <w:p w14:paraId="38B1697F" w14:textId="77777777" w:rsidR="00404D08" w:rsidRDefault="00000000">
      <w:pPr>
        <w:pStyle w:val="Nivel010"/>
        <w:numPr>
          <w:ilvl w:val="0"/>
          <w:numId w:val="16"/>
        </w:numPr>
        <w:tabs>
          <w:tab w:val="left" w:pos="360"/>
        </w:tabs>
        <w:spacing w:before="120" w:afterLines="120" w:after="288" w:line="312" w:lineRule="auto"/>
        <w:ind w:left="567" w:hanging="567"/>
        <w:rPr>
          <w:rFonts w:asciiTheme="minorHAnsi" w:hAnsiTheme="minorHAnsi" w:cstheme="minorHAnsi"/>
          <w:color w:val="FFFFFF" w:themeColor="background1"/>
          <w:sz w:val="22"/>
          <w:szCs w:val="22"/>
        </w:rPr>
      </w:pPr>
      <w:r>
        <w:rPr>
          <w:rFonts w:asciiTheme="minorHAnsi" w:hAnsiTheme="minorHAnsi" w:cstheme="minorHAnsi"/>
          <w:sz w:val="22"/>
          <w:szCs w:val="22"/>
        </w:rPr>
        <w:t>CLÁUSULA DÉCIMA SÉTIMA – PUBLICAÇÃO</w:t>
      </w:r>
    </w:p>
    <w:p w14:paraId="09290BB3" w14:textId="77777777" w:rsidR="00404D08" w:rsidRDefault="00000000">
      <w:pPr>
        <w:pStyle w:val="Nivel2"/>
        <w:numPr>
          <w:ilvl w:val="1"/>
          <w:numId w:val="16"/>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Incumbirá ao contratante divulgar o presente instrumento no Portal Nacional de Contratações Públicas (PNCP), na forma prevista no </w:t>
      </w:r>
      <w:hyperlink r:id="rId85" w:anchor="art94" w:history="1">
        <w:r>
          <w:rPr>
            <w:rStyle w:val="Hyperlink"/>
            <w:rFonts w:asciiTheme="minorHAnsi" w:hAnsiTheme="minorHAnsi" w:cstheme="minorHAnsi"/>
            <w:sz w:val="22"/>
            <w:szCs w:val="22"/>
          </w:rPr>
          <w:t>art. 94 da Lei 14.133, de 2021</w:t>
        </w:r>
      </w:hyperlink>
      <w:r>
        <w:rPr>
          <w:rFonts w:asciiTheme="minorHAnsi" w:hAnsiTheme="minorHAnsi" w:cstheme="minorHAnsi"/>
          <w:sz w:val="22"/>
          <w:szCs w:val="22"/>
        </w:rPr>
        <w:t xml:space="preserve">, bem como no respectivo sítio oficial na Internet, em atenção ao </w:t>
      </w:r>
      <w:hyperlink r:id="rId86" w:anchor="art8§2" w:history="1">
        <w:r>
          <w:rPr>
            <w:rStyle w:val="Hyperlink"/>
            <w:rFonts w:asciiTheme="minorHAnsi" w:hAnsiTheme="minorHAnsi" w:cstheme="minorHAnsi"/>
            <w:sz w:val="22"/>
            <w:szCs w:val="22"/>
          </w:rPr>
          <w:t>art. 8º, §2º, da Lei n. 12.527, de 2011</w:t>
        </w:r>
      </w:hyperlink>
      <w:r>
        <w:rPr>
          <w:rFonts w:asciiTheme="minorHAnsi" w:hAnsiTheme="minorHAnsi" w:cstheme="minorHAnsi"/>
          <w:sz w:val="22"/>
          <w:szCs w:val="22"/>
        </w:rPr>
        <w:t xml:space="preserve">, c/c </w:t>
      </w:r>
      <w:hyperlink r:id="rId87" w:anchor="art7§3" w:history="1">
        <w:r>
          <w:rPr>
            <w:rStyle w:val="Hyperlink"/>
            <w:rFonts w:asciiTheme="minorHAnsi" w:hAnsiTheme="minorHAnsi" w:cstheme="minorHAnsi"/>
            <w:sz w:val="22"/>
            <w:szCs w:val="22"/>
          </w:rPr>
          <w:t>art. 7º, §3º, inciso V, do Decreto n. 7.724, de 2012.</w:t>
        </w:r>
      </w:hyperlink>
      <w:r>
        <w:rPr>
          <w:rFonts w:asciiTheme="minorHAnsi" w:hAnsiTheme="minorHAnsi" w:cstheme="minorHAnsi"/>
          <w:sz w:val="22"/>
          <w:szCs w:val="22"/>
        </w:rPr>
        <w:t xml:space="preserve"> </w:t>
      </w:r>
    </w:p>
    <w:p w14:paraId="06B28E59" w14:textId="77777777" w:rsidR="00404D08" w:rsidRDefault="00000000">
      <w:pPr>
        <w:pStyle w:val="Nivel2"/>
        <w:numPr>
          <w:ilvl w:val="0"/>
          <w:numId w:val="16"/>
        </w:numPr>
        <w:spacing w:afterLines="120" w:after="288" w:line="312" w:lineRule="auto"/>
        <w:rPr>
          <w:rFonts w:asciiTheme="minorHAnsi" w:hAnsiTheme="minorHAnsi" w:cstheme="minorHAnsi"/>
          <w:b/>
          <w:bCs/>
          <w:sz w:val="22"/>
          <w:szCs w:val="22"/>
        </w:rPr>
      </w:pPr>
      <w:r>
        <w:rPr>
          <w:rFonts w:asciiTheme="minorHAnsi" w:hAnsiTheme="minorHAnsi" w:cstheme="minorHAnsi"/>
          <w:b/>
          <w:bCs/>
          <w:sz w:val="22"/>
          <w:szCs w:val="22"/>
        </w:rPr>
        <w:t>CLÁUSULA DÉCIMA OITAVA– FORO (</w:t>
      </w:r>
      <w:hyperlink r:id="rId88" w:anchor="art92§1" w:history="1">
        <w:r>
          <w:rPr>
            <w:rStyle w:val="Hyperlink"/>
            <w:rFonts w:asciiTheme="minorHAnsi" w:hAnsiTheme="minorHAnsi" w:cstheme="minorHAnsi"/>
            <w:b/>
            <w:bCs/>
            <w:color w:val="auto"/>
            <w:sz w:val="22"/>
            <w:szCs w:val="22"/>
          </w:rPr>
          <w:t>art. 92, §1º</w:t>
        </w:r>
      </w:hyperlink>
      <w:r>
        <w:rPr>
          <w:rFonts w:asciiTheme="minorHAnsi" w:hAnsiTheme="minorHAnsi" w:cstheme="minorHAnsi"/>
          <w:b/>
          <w:bCs/>
          <w:sz w:val="22"/>
          <w:szCs w:val="22"/>
        </w:rPr>
        <w:t>)</w:t>
      </w:r>
    </w:p>
    <w:p w14:paraId="0B0BA847" w14:textId="77777777" w:rsidR="00404D08" w:rsidRDefault="00000000">
      <w:pPr>
        <w:pStyle w:val="Nivel2"/>
        <w:numPr>
          <w:ilvl w:val="1"/>
          <w:numId w:val="23"/>
        </w:numPr>
        <w:spacing w:afterLines="120" w:after="288"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Fica eleito o Foro da Justiça Federal em Niterói/RJ para dirimir os litígios que decorrerem da execução deste Termo de Contrato que não puderem ser compostos pela conciliação, conforme </w:t>
      </w:r>
      <w:hyperlink r:id="rId89" w:anchor="art92§1" w:history="1">
        <w:r>
          <w:rPr>
            <w:rStyle w:val="Hyperlink"/>
            <w:rFonts w:asciiTheme="minorHAnsi" w:hAnsiTheme="minorHAnsi" w:cstheme="minorHAnsi"/>
            <w:color w:val="auto"/>
            <w:sz w:val="22"/>
            <w:szCs w:val="22"/>
          </w:rPr>
          <w:t>art. 92, §1º, da Lei nº 14.133/21.</w:t>
        </w:r>
      </w:hyperlink>
    </w:p>
    <w:p w14:paraId="59436B42" w14:textId="77777777" w:rsidR="00404D08" w:rsidRDefault="00000000">
      <w:pPr>
        <w:pStyle w:val="Nivel2"/>
        <w:numPr>
          <w:ilvl w:val="0"/>
          <w:numId w:val="0"/>
        </w:numPr>
        <w:spacing w:afterLines="120" w:after="288" w:line="312" w:lineRule="auto"/>
        <w:ind w:hanging="6"/>
        <w:rPr>
          <w:rFonts w:asciiTheme="minorHAnsi" w:hAnsiTheme="minorHAnsi" w:cstheme="minorHAnsi"/>
          <w:sz w:val="22"/>
          <w:szCs w:val="22"/>
        </w:rPr>
      </w:pPr>
      <w:r>
        <w:rPr>
          <w:rFonts w:asciiTheme="minorHAnsi" w:hAnsiTheme="minorHAnsi" w:cstheme="minorHAnsi"/>
          <w:sz w:val="22"/>
          <w:szCs w:val="22"/>
        </w:rPr>
        <w:lastRenderedPageBreak/>
        <w:t>Para firmeza e validade do pactuado, o presente Termo de Contrato foi lavrado em uma via eletrônica que, depois de lido e achado em ordem, vai assinado pelos contraentes e por duas testemunhas.</w:t>
      </w:r>
    </w:p>
    <w:p w14:paraId="0A76970D" w14:textId="77777777" w:rsidR="00404D08" w:rsidRDefault="00404D08">
      <w:pPr>
        <w:spacing w:after="120" w:line="276" w:lineRule="auto"/>
        <w:ind w:left="567" w:right="-15" w:hanging="567"/>
        <w:rPr>
          <w:rFonts w:asciiTheme="minorHAnsi" w:hAnsiTheme="minorHAnsi" w:cstheme="minorHAnsi"/>
          <w:b/>
          <w:bCs/>
          <w:sz w:val="22"/>
          <w:szCs w:val="22"/>
        </w:rPr>
      </w:pPr>
    </w:p>
    <w:sectPr w:rsidR="00404D08">
      <w:headerReference w:type="default" r:id="rId90"/>
      <w:footerReference w:type="default" r:id="rId91"/>
      <w:pgSz w:w="11906" w:h="16838"/>
      <w:pgMar w:top="1440" w:right="1080" w:bottom="1440" w:left="1134" w:header="170" w:footer="709" w:gutter="0"/>
      <w:pgBorders w:offsetFrom="page">
        <w:top w:val="threeDEngrave" w:sz="18" w:space="24" w:color="000000" w:themeColor="text1"/>
        <w:left w:val="threeDEngrave" w:sz="18" w:space="24" w:color="000000" w:themeColor="text1"/>
        <w:bottom w:val="threeDEmboss" w:sz="18" w:space="24" w:color="000000" w:themeColor="text1"/>
        <w:right w:val="threeDEmboss" w:sz="18" w:space="24" w:color="000000" w:themeColor="text1"/>
      </w:pgBorders>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E4990" w14:textId="77777777" w:rsidR="00A64BC7" w:rsidRDefault="00A64BC7">
      <w:r>
        <w:separator/>
      </w:r>
    </w:p>
  </w:endnote>
  <w:endnote w:type="continuationSeparator" w:id="0">
    <w:p w14:paraId="4C30B289" w14:textId="77777777" w:rsidR="00A64BC7" w:rsidRDefault="00A64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Ecofont_Spranq_eco_Sans">
    <w:altName w:val="Malgun Gothic"/>
    <w:charset w:val="00"/>
    <w:family w:val="swiss"/>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tarSymbol">
    <w:altName w:val="MS Gothic"/>
    <w:charset w:val="80"/>
    <w:family w:val="auto"/>
    <w:pitch w:val="default"/>
  </w:font>
  <w:font w:name="OpenSymbol">
    <w:charset w:val="00"/>
    <w:family w:val="auto"/>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pitch w:val="default"/>
    <w:sig w:usb0="00000000" w:usb1="00000000" w:usb2="00000000" w:usb3="00000000" w:csb0="00000001" w:csb1="00000000"/>
  </w:font>
  <w:font w:name="CG Times (WN)">
    <w:altName w:val="Times New Roman"/>
    <w:charset w:val="00"/>
    <w:family w:val="roman"/>
    <w:pitch w:val="default"/>
  </w:font>
  <w:font w:name="WenQuanYi Micro Hei">
    <w:charset w:val="00"/>
    <w:family w:val="roman"/>
    <w:pitch w:val="default"/>
  </w:font>
  <w:font w:name="Lohit Hindi">
    <w:altName w:val="Cambria"/>
    <w:charset w:val="00"/>
    <w:family w:val="roman"/>
    <w:pitch w:val="default"/>
  </w:font>
  <w:font w:name="Liberation Serif">
    <w:altName w:val="Times New Roman"/>
    <w:charset w:val="01"/>
    <w:family w:val="roman"/>
    <w:pitch w:val="default"/>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03569" w14:textId="77777777" w:rsidR="00404D08" w:rsidRDefault="00000000">
    <w:pPr>
      <w:pStyle w:val="Rodap"/>
      <w:rPr>
        <w:rFonts w:ascii="Times New Roman" w:hAnsi="Times New Roman" w:cs="Times New Roman"/>
      </w:rPr>
    </w:pPr>
    <w:r>
      <w:rPr>
        <w:rFonts w:ascii="Times New Roman" w:hAnsi="Times New Roman" w:cs="Times New Roman"/>
      </w:rPr>
      <w:t>____________________________________________________________________</w:t>
    </w:r>
  </w:p>
  <w:p w14:paraId="401DC899" w14:textId="77777777" w:rsidR="00404D08" w:rsidRDefault="00000000">
    <w:pPr>
      <w:pStyle w:val="Rodap"/>
      <w:rPr>
        <w:rFonts w:cs="Arial"/>
        <w:sz w:val="14"/>
        <w:szCs w:val="14"/>
      </w:rPr>
    </w:pPr>
    <w:r>
      <w:rPr>
        <w:rFonts w:cs="Arial"/>
        <w:sz w:val="14"/>
        <w:szCs w:val="14"/>
      </w:rPr>
      <w:t>Câmara Nacional de Modelos de Licitações e Contratos da Consultoria-Geral da União</w:t>
    </w:r>
  </w:p>
  <w:p w14:paraId="51A56C0C" w14:textId="77777777" w:rsidR="00404D08" w:rsidRDefault="00000000">
    <w:pPr>
      <w:pStyle w:val="Rodap"/>
      <w:rPr>
        <w:rFonts w:cs="Arial"/>
        <w:sz w:val="14"/>
        <w:szCs w:val="14"/>
      </w:rPr>
    </w:pPr>
    <w:r>
      <w:rPr>
        <w:rFonts w:cs="Arial"/>
        <w:sz w:val="14"/>
        <w:szCs w:val="14"/>
      </w:rPr>
      <w:t>Atualização: fevereiro/2023</w:t>
    </w:r>
  </w:p>
  <w:p w14:paraId="522EF9BA" w14:textId="77777777" w:rsidR="00404D08" w:rsidRDefault="00000000">
    <w:pPr>
      <w:pStyle w:val="Rodap"/>
      <w:rPr>
        <w:rFonts w:cs="Arial"/>
        <w:sz w:val="14"/>
        <w:szCs w:val="14"/>
      </w:rPr>
    </w:pPr>
    <w:r>
      <w:rPr>
        <w:rFonts w:cs="Arial"/>
        <w:sz w:val="14"/>
        <w:szCs w:val="14"/>
      </w:rPr>
      <w:t>Termo de contrato modelo para Pregão Eletrônico - Serviços</w:t>
    </w:r>
    <w:r>
      <w:rPr>
        <w:sz w:val="14"/>
        <w:szCs w:val="14"/>
      </w:rPr>
      <w:t xml:space="preserve"> </w:t>
    </w:r>
    <w:r>
      <w:rPr>
        <w:rFonts w:cs="Arial"/>
        <w:sz w:val="14"/>
        <w:szCs w:val="14"/>
      </w:rPr>
      <w:t>contínuos com regime de dedicação exclusiva de mão de obra - Lei nº 14.133, de 2021.</w:t>
    </w:r>
  </w:p>
  <w:p w14:paraId="6F2F2797" w14:textId="77777777" w:rsidR="00404D08" w:rsidRDefault="00000000">
    <w:pPr>
      <w:pStyle w:val="Rodap"/>
      <w:rPr>
        <w:rFonts w:cs="Arial"/>
        <w:sz w:val="14"/>
        <w:szCs w:val="14"/>
      </w:rPr>
    </w:pPr>
    <w:r>
      <w:rPr>
        <w:rFonts w:cs="Arial"/>
        <w:sz w:val="14"/>
        <w:szCs w:val="14"/>
      </w:rPr>
      <w:t>Revisado pela Secretaria de Gestão e Inovação.</w:t>
    </w:r>
  </w:p>
  <w:p w14:paraId="7F0EAF95" w14:textId="77777777" w:rsidR="00404D08" w:rsidRDefault="00000000">
    <w:pPr>
      <w:pStyle w:val="Rodap"/>
      <w:tabs>
        <w:tab w:val="clear" w:pos="8504"/>
        <w:tab w:val="right" w:pos="9639"/>
      </w:tabs>
      <w:rPr>
        <w:i/>
      </w:rPr>
    </w:pPr>
    <w:r>
      <w:rPr>
        <w:rFonts w:cs="Arial"/>
        <w:sz w:val="14"/>
        <w:szCs w:val="14"/>
      </w:rPr>
      <w:t>Identidade visual pela Secretaria de Gestão e Inovação</w:t>
    </w:r>
    <w:r>
      <w:rPr>
        <w:sz w:val="12"/>
        <w:szCs w:val="12"/>
      </w:rPr>
      <w:tab/>
    </w:r>
    <w:r>
      <w:rPr>
        <w:sz w:val="12"/>
        <w:szCs w:val="12"/>
      </w:rPr>
      <w:tab/>
      <w:t xml:space="preserve">       </w:t>
    </w:r>
    <w:r>
      <w:rPr>
        <w:rFonts w:ascii="Verdana" w:hAnsi="Verdana"/>
        <w:sz w:val="16"/>
        <w:szCs w:val="16"/>
      </w:rPr>
      <w:t xml:space="preserve">Pág. </w:t>
    </w:r>
    <w:r>
      <w:rPr>
        <w:rStyle w:val="Nmerodepgina"/>
        <w:rFonts w:ascii="Verdana" w:eastAsia="MS Gothic" w:hAnsi="Verdana"/>
        <w:sz w:val="16"/>
        <w:szCs w:val="16"/>
      </w:rPr>
      <w:fldChar w:fldCharType="begin"/>
    </w:r>
    <w:r>
      <w:rPr>
        <w:rStyle w:val="Nmerodepgina"/>
        <w:rFonts w:ascii="Verdana" w:eastAsia="MS Gothic" w:hAnsi="Verdana"/>
        <w:sz w:val="16"/>
        <w:szCs w:val="16"/>
      </w:rPr>
      <w:instrText xml:space="preserve"> PAGE </w:instrText>
    </w:r>
    <w:r>
      <w:rPr>
        <w:rStyle w:val="Nmerodepgina"/>
        <w:rFonts w:ascii="Verdana" w:eastAsia="MS Gothic" w:hAnsi="Verdana"/>
        <w:sz w:val="16"/>
        <w:szCs w:val="16"/>
      </w:rPr>
      <w:fldChar w:fldCharType="separate"/>
    </w:r>
    <w:r>
      <w:rPr>
        <w:rStyle w:val="Nmerodepgina"/>
        <w:rFonts w:ascii="Verdana" w:eastAsia="MS Gothic" w:hAnsi="Verdana"/>
        <w:sz w:val="16"/>
        <w:szCs w:val="16"/>
      </w:rPr>
      <w:t>14</w:t>
    </w:r>
    <w:r>
      <w:rPr>
        <w:rStyle w:val="Nmerodepgina"/>
        <w:rFonts w:ascii="Verdana" w:eastAsia="MS Gothic" w:hAnsi="Verdana"/>
        <w:sz w:val="16"/>
        <w:szCs w:val="16"/>
      </w:rPr>
      <w:fldChar w:fldCharType="end"/>
    </w:r>
    <w:r>
      <w:rPr>
        <w:rStyle w:val="Nmerodepgina"/>
        <w:rFonts w:ascii="Verdana" w:eastAsia="MS Gothic" w:hAnsi="Verdana"/>
        <w:sz w:val="16"/>
        <w:szCs w:val="16"/>
      </w:rPr>
      <w:t>/</w:t>
    </w:r>
    <w:r>
      <w:rPr>
        <w:rStyle w:val="Nmerodepgina"/>
        <w:rFonts w:ascii="Verdana" w:eastAsia="MS Gothic" w:hAnsi="Verdana"/>
        <w:sz w:val="16"/>
        <w:szCs w:val="16"/>
      </w:rPr>
      <w:fldChar w:fldCharType="begin"/>
    </w:r>
    <w:r>
      <w:rPr>
        <w:rStyle w:val="Nmerodepgina"/>
        <w:rFonts w:ascii="Verdana" w:eastAsia="MS Gothic" w:hAnsi="Verdana"/>
        <w:sz w:val="16"/>
        <w:szCs w:val="16"/>
      </w:rPr>
      <w:instrText xml:space="preserve"> NUMPAGES </w:instrText>
    </w:r>
    <w:r>
      <w:rPr>
        <w:rStyle w:val="Nmerodepgina"/>
        <w:rFonts w:ascii="Verdana" w:eastAsia="MS Gothic" w:hAnsi="Verdana"/>
        <w:sz w:val="16"/>
        <w:szCs w:val="16"/>
      </w:rPr>
      <w:fldChar w:fldCharType="separate"/>
    </w:r>
    <w:r>
      <w:rPr>
        <w:rStyle w:val="Nmerodepgina"/>
        <w:rFonts w:ascii="Verdana" w:eastAsia="MS Gothic" w:hAnsi="Verdana"/>
        <w:sz w:val="16"/>
        <w:szCs w:val="16"/>
      </w:rPr>
      <w:t>39</w:t>
    </w:r>
    <w:r>
      <w:rPr>
        <w:rStyle w:val="Nmerodepgina"/>
        <w:rFonts w:ascii="Verdana" w:eastAsia="MS Gothic" w:hAnsi="Verdana"/>
        <w:sz w:val="16"/>
        <w:szCs w:val="16"/>
      </w:rPr>
      <w:fldChar w:fldCharType="end"/>
    </w:r>
  </w:p>
  <w:p w14:paraId="7172DE56" w14:textId="77777777" w:rsidR="00404D08" w:rsidRDefault="00404D08">
    <w:pPr>
      <w:pStyle w:val="Rodap"/>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0DC65" w14:textId="77777777" w:rsidR="00A64BC7" w:rsidRDefault="00A64BC7">
      <w:r>
        <w:separator/>
      </w:r>
    </w:p>
  </w:footnote>
  <w:footnote w:type="continuationSeparator" w:id="0">
    <w:p w14:paraId="0353BA5D" w14:textId="77777777" w:rsidR="00A64BC7" w:rsidRDefault="00A64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158122748"/>
      <w:docPartObj>
        <w:docPartGallery w:val="AutoText"/>
      </w:docPartObj>
    </w:sdtPr>
    <w:sdtContent>
      <w:p w14:paraId="77248DED" w14:textId="77777777" w:rsidR="00404D08" w:rsidRDefault="00000000">
        <w:pPr>
          <w:pStyle w:val="Cabealho"/>
          <w:jc w:val="right"/>
          <w:rPr>
            <w:rFonts w:ascii="Verdana" w:hAnsi="Verdana"/>
            <w:sz w:val="16"/>
            <w:szCs w:val="16"/>
          </w:rPr>
        </w:pPr>
        <w:r>
          <w:rPr>
            <w:rFonts w:ascii="Verdana" w:hAnsi="Verdana"/>
            <w:sz w:val="16"/>
            <w:szCs w:val="16"/>
          </w:rPr>
          <w:pict w14:anchorId="5BB8D9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354361" o:spid="_x0000_s1025" type="#_x0000_t136" style="position:absolute;left:0;text-align:left;margin-left:0;margin-top:0;width:478.25pt;height:204.95pt;rotation:315;z-index:-251657728;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MINUTA"/>
              <w10:wrap anchorx="margin" anchory="margin"/>
            </v:shape>
          </w:pict>
        </w:r>
      </w:p>
    </w:sdtContent>
  </w:sdt>
  <w:p w14:paraId="5065C76A" w14:textId="77777777" w:rsidR="00404D08" w:rsidRDefault="00404D08">
    <w:pPr>
      <w:pStyle w:val="Cabealho"/>
      <w:jc w:val="right"/>
      <w:rPr>
        <w:rFonts w:ascii="Verdana" w:hAnsi="Verdana"/>
        <w:sz w:val="16"/>
        <w:szCs w:val="16"/>
      </w:rPr>
    </w:pPr>
  </w:p>
  <w:p w14:paraId="6BA01355" w14:textId="77777777" w:rsidR="00404D08" w:rsidRDefault="00000000">
    <w:pPr>
      <w:pStyle w:val="Cabealho"/>
      <w:jc w:val="right"/>
    </w:pPr>
    <w:r>
      <w:rPr>
        <w:rFonts w:ascii="Verdana" w:hAnsi="Verdana"/>
        <w:noProof/>
        <w:sz w:val="16"/>
        <w:szCs w:val="16"/>
      </w:rPr>
      <w:drawing>
        <wp:anchor distT="0" distB="0" distL="114300" distR="114300" simplePos="0" relativeHeight="251656704" behindDoc="0" locked="0" layoutInCell="1" allowOverlap="1" wp14:anchorId="5D8423E8" wp14:editId="3162557F">
          <wp:simplePos x="0" y="0"/>
          <wp:positionH relativeFrom="column">
            <wp:posOffset>11430</wp:posOffset>
          </wp:positionH>
          <wp:positionV relativeFrom="paragraph">
            <wp:posOffset>38100</wp:posOffset>
          </wp:positionV>
          <wp:extent cx="685800" cy="370840"/>
          <wp:effectExtent l="0" t="0" r="0" b="0"/>
          <wp:wrapNone/>
          <wp:docPr id="10" name="Imagem 10"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10" descr="Uma imagem contendo clip-art&#10;&#10;Descrição gerada automaticamente"/>
                  <pic:cNvPicPr>
                    <a:picLocks noChangeAspect="1"/>
                  </pic:cNvPicPr>
                </pic:nvPicPr>
                <pic:blipFill>
                  <a:blip r:embed="rId1"/>
                  <a:stretch>
                    <a:fillRect/>
                  </a:stretch>
                </pic:blipFill>
                <pic:spPr>
                  <a:xfrm>
                    <a:off x="0" y="0"/>
                    <a:ext cx="685800" cy="370840"/>
                  </a:xfrm>
                  <a:prstGeom prst="rect">
                    <a:avLst/>
                  </a:prstGeom>
                </pic:spPr>
              </pic:pic>
            </a:graphicData>
          </a:graphic>
        </wp:anchor>
      </w:drawing>
    </w:r>
    <w:r>
      <w:rPr>
        <w:rFonts w:ascii="Verdana" w:hAnsi="Verdana"/>
        <w:noProof/>
        <w:sz w:val="16"/>
        <w:szCs w:val="16"/>
      </w:rPr>
      <w:drawing>
        <wp:anchor distT="0" distB="0" distL="114300" distR="114300" simplePos="0" relativeHeight="251657728" behindDoc="0" locked="0" layoutInCell="1" allowOverlap="1" wp14:anchorId="2476B74A" wp14:editId="796256AA">
          <wp:simplePos x="0" y="0"/>
          <wp:positionH relativeFrom="column">
            <wp:posOffset>5269230</wp:posOffset>
          </wp:positionH>
          <wp:positionV relativeFrom="paragraph">
            <wp:posOffset>69850</wp:posOffset>
          </wp:positionV>
          <wp:extent cx="1120140" cy="383540"/>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a:picLocks noChangeAspect="1"/>
                  </pic:cNvPicPr>
                </pic:nvPicPr>
                <pic:blipFill>
                  <a:blip r:embed="rId2"/>
                  <a:stretch>
                    <a:fillRect/>
                  </a:stretch>
                </pic:blipFill>
                <pic:spPr>
                  <a:xfrm>
                    <a:off x="0" y="0"/>
                    <a:ext cx="1120140" cy="38329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B3C5"/>
    <w:multiLevelType w:val="multilevel"/>
    <w:tmpl w:val="0299B3C5"/>
    <w:lvl w:ilvl="0">
      <w:start w:val="1"/>
      <w:numFmt w:val="lowerLetter"/>
      <w:lvlText w:val="%1)"/>
      <w:lvlJc w:val="left"/>
      <w:pPr>
        <w:tabs>
          <w:tab w:val="left" w:pos="0"/>
        </w:tabs>
        <w:ind w:left="1436" w:hanging="360"/>
      </w:pPr>
    </w:lvl>
    <w:lvl w:ilvl="1">
      <w:start w:val="1"/>
      <w:numFmt w:val="lowerLetter"/>
      <w:lvlText w:val="%2."/>
      <w:lvlJc w:val="left"/>
      <w:pPr>
        <w:tabs>
          <w:tab w:val="left" w:pos="0"/>
        </w:tabs>
        <w:ind w:left="2156" w:hanging="360"/>
      </w:pPr>
    </w:lvl>
    <w:lvl w:ilvl="2">
      <w:start w:val="1"/>
      <w:numFmt w:val="lowerRoman"/>
      <w:lvlText w:val="%3."/>
      <w:lvlJc w:val="right"/>
      <w:pPr>
        <w:tabs>
          <w:tab w:val="left" w:pos="0"/>
        </w:tabs>
        <w:ind w:left="2876" w:hanging="180"/>
      </w:pPr>
    </w:lvl>
    <w:lvl w:ilvl="3">
      <w:start w:val="1"/>
      <w:numFmt w:val="decimal"/>
      <w:lvlText w:val="%4."/>
      <w:lvlJc w:val="left"/>
      <w:pPr>
        <w:tabs>
          <w:tab w:val="left" w:pos="0"/>
        </w:tabs>
        <w:ind w:left="3596" w:hanging="360"/>
      </w:pPr>
    </w:lvl>
    <w:lvl w:ilvl="4">
      <w:start w:val="1"/>
      <w:numFmt w:val="lowerLetter"/>
      <w:lvlText w:val="%5."/>
      <w:lvlJc w:val="left"/>
      <w:pPr>
        <w:tabs>
          <w:tab w:val="left" w:pos="0"/>
        </w:tabs>
        <w:ind w:left="4316" w:hanging="360"/>
      </w:pPr>
    </w:lvl>
    <w:lvl w:ilvl="5">
      <w:start w:val="1"/>
      <w:numFmt w:val="lowerRoman"/>
      <w:lvlText w:val="%6."/>
      <w:lvlJc w:val="right"/>
      <w:pPr>
        <w:tabs>
          <w:tab w:val="left" w:pos="0"/>
        </w:tabs>
        <w:ind w:left="5036" w:hanging="180"/>
      </w:pPr>
    </w:lvl>
    <w:lvl w:ilvl="6">
      <w:start w:val="1"/>
      <w:numFmt w:val="decimal"/>
      <w:lvlText w:val="%7."/>
      <w:lvlJc w:val="left"/>
      <w:pPr>
        <w:tabs>
          <w:tab w:val="left" w:pos="0"/>
        </w:tabs>
        <w:ind w:left="5756" w:hanging="360"/>
      </w:pPr>
    </w:lvl>
    <w:lvl w:ilvl="7">
      <w:start w:val="1"/>
      <w:numFmt w:val="lowerLetter"/>
      <w:lvlText w:val="%8."/>
      <w:lvlJc w:val="left"/>
      <w:pPr>
        <w:tabs>
          <w:tab w:val="left" w:pos="0"/>
        </w:tabs>
        <w:ind w:left="6476" w:hanging="360"/>
      </w:pPr>
    </w:lvl>
    <w:lvl w:ilvl="8">
      <w:start w:val="1"/>
      <w:numFmt w:val="lowerRoman"/>
      <w:lvlText w:val="%9."/>
      <w:lvlJc w:val="right"/>
      <w:pPr>
        <w:tabs>
          <w:tab w:val="left" w:pos="0"/>
        </w:tabs>
        <w:ind w:left="7196" w:hanging="180"/>
      </w:pPr>
    </w:lvl>
  </w:abstractNum>
  <w:abstractNum w:abstractNumId="1" w15:restartNumberingAfterBreak="0">
    <w:nsid w:val="0C363AD2"/>
    <w:multiLevelType w:val="multilevel"/>
    <w:tmpl w:val="0C363AD2"/>
    <w:lvl w:ilvl="0">
      <w:start w:val="1"/>
      <w:numFmt w:val="decimal"/>
      <w:lvlText w:val="%1."/>
      <w:lvlJc w:val="left"/>
      <w:pPr>
        <w:tabs>
          <w:tab w:val="left" w:pos="0"/>
        </w:tabs>
        <w:ind w:left="360" w:hanging="360"/>
      </w:pPr>
      <w:rPr>
        <w:b/>
        <w:i w:val="0"/>
      </w:rPr>
    </w:lvl>
    <w:lvl w:ilvl="1">
      <w:start w:val="1"/>
      <w:numFmt w:val="upperRoman"/>
      <w:lvlText w:val="%2."/>
      <w:lvlJc w:val="right"/>
      <w:pPr>
        <w:tabs>
          <w:tab w:val="left" w:pos="0"/>
        </w:tabs>
        <w:ind w:left="360" w:hanging="360"/>
      </w:pPr>
    </w:lvl>
    <w:lvl w:ilvl="2">
      <w:start w:val="1"/>
      <w:numFmt w:val="decimal"/>
      <w:suff w:val="space"/>
      <w:lvlText w:val="%1.%2.%3."/>
      <w:lvlJc w:val="left"/>
      <w:pPr>
        <w:tabs>
          <w:tab w:val="left" w:pos="0"/>
        </w:tabs>
        <w:ind w:left="1135" w:firstLine="0"/>
      </w:pPr>
      <w:rPr>
        <w:b w:val="0"/>
        <w:i w:val="0"/>
      </w:rPr>
    </w:lvl>
    <w:lvl w:ilvl="3">
      <w:start w:val="1"/>
      <w:numFmt w:val="decimal"/>
      <w:suff w:val="space"/>
      <w:lvlText w:val="%1.%2.%3.%4."/>
      <w:lvlJc w:val="left"/>
      <w:pPr>
        <w:tabs>
          <w:tab w:val="left" w:pos="0"/>
        </w:tabs>
        <w:ind w:left="851" w:firstLine="0"/>
      </w:pPr>
      <w:rPr>
        <w:b/>
        <w:i w:val="0"/>
      </w:rPr>
    </w:lvl>
    <w:lvl w:ilvl="4">
      <w:start w:val="1"/>
      <w:numFmt w:val="decimal"/>
      <w:suff w:val="space"/>
      <w:lvlText w:val="%1.%2.%3.%4.%5."/>
      <w:lvlJc w:val="left"/>
      <w:pPr>
        <w:tabs>
          <w:tab w:val="left" w:pos="0"/>
        </w:tabs>
        <w:ind w:left="1134" w:firstLine="0"/>
      </w:pPr>
      <w:rPr>
        <w:b/>
        <w:i w:val="0"/>
      </w:rPr>
    </w:lvl>
    <w:lvl w:ilvl="5">
      <w:start w:val="1"/>
      <w:numFmt w:val="decimal"/>
      <w:lvlText w:val="%1.%2.%3.%4.%5.%6."/>
      <w:lvlJc w:val="left"/>
      <w:pPr>
        <w:tabs>
          <w:tab w:val="left" w:pos="288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3960"/>
        </w:tabs>
        <w:ind w:left="3744" w:hanging="1224"/>
      </w:pPr>
    </w:lvl>
    <w:lvl w:ilvl="8">
      <w:start w:val="1"/>
      <w:numFmt w:val="decimal"/>
      <w:lvlText w:val="%1.%2.%3.%4.%5.%6.%7.%8.%9."/>
      <w:lvlJc w:val="left"/>
      <w:pPr>
        <w:tabs>
          <w:tab w:val="left" w:pos="4680"/>
        </w:tabs>
        <w:ind w:left="4320" w:hanging="1440"/>
      </w:pPr>
    </w:lvl>
  </w:abstractNum>
  <w:abstractNum w:abstractNumId="2" w15:restartNumberingAfterBreak="0">
    <w:nsid w:val="0C930BFB"/>
    <w:multiLevelType w:val="multilevel"/>
    <w:tmpl w:val="0C930BFB"/>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704622"/>
    <w:multiLevelType w:val="multilevel"/>
    <w:tmpl w:val="1B704622"/>
    <w:lvl w:ilvl="0">
      <w:start w:val="4"/>
      <w:numFmt w:val="decimal"/>
      <w:lvlText w:val="%1."/>
      <w:lvlJc w:val="left"/>
      <w:pPr>
        <w:ind w:left="495" w:hanging="495"/>
      </w:pPr>
      <w:rPr>
        <w:rFonts w:hint="default"/>
      </w:rPr>
    </w:lvl>
    <w:lvl w:ilvl="1">
      <w:start w:val="3"/>
      <w:numFmt w:val="decimal"/>
      <w:lvlText w:val="%1.%2."/>
      <w:lvlJc w:val="left"/>
      <w:pPr>
        <w:ind w:left="528" w:hanging="495"/>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4" w15:restartNumberingAfterBreak="0">
    <w:nsid w:val="1D5C100D"/>
    <w:multiLevelType w:val="multilevel"/>
    <w:tmpl w:val="1D5C100D"/>
    <w:lvl w:ilvl="0">
      <w:start w:val="1"/>
      <w:numFmt w:val="decimal"/>
      <w:lvlText w:val="%1."/>
      <w:lvlJc w:val="left"/>
      <w:pPr>
        <w:ind w:left="360" w:hanging="360"/>
      </w:pPr>
      <w:rPr>
        <w:rFonts w:asciiTheme="minorHAnsi" w:eastAsia="Times New Roman" w:hAnsiTheme="minorHAnsi" w:cstheme="minorHAnsi"/>
        <w:b/>
      </w:rPr>
    </w:lvl>
    <w:lvl w:ilvl="1">
      <w:start w:val="1"/>
      <w:numFmt w:val="decimal"/>
      <w:lvlText w:val="%1.%2."/>
      <w:lvlJc w:val="left"/>
      <w:pPr>
        <w:ind w:left="4969" w:hanging="432"/>
      </w:pPr>
      <w:rPr>
        <w:b w:val="0"/>
        <w:i w:val="0"/>
        <w:strike w:val="0"/>
        <w:dstrike w:val="0"/>
        <w:color w:val="auto"/>
        <w:sz w:val="22"/>
        <w:szCs w:val="22"/>
        <w:u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65737B"/>
    <w:multiLevelType w:val="multilevel"/>
    <w:tmpl w:val="1D65737B"/>
    <w:lvl w:ilvl="0">
      <w:start w:val="1"/>
      <w:numFmt w:val="lowerLetter"/>
      <w:pStyle w:val="SalisAlineaArial11"/>
      <w:lvlText w:val="%1)"/>
      <w:lvlJc w:val="left"/>
      <w:pPr>
        <w:tabs>
          <w:tab w:val="left" w:pos="1440"/>
        </w:tabs>
        <w:ind w:left="1440" w:hanging="360"/>
      </w:pPr>
      <w:rPr>
        <w:rFonts w:hint="default"/>
      </w:rPr>
    </w:lvl>
    <w:lvl w:ilvl="1">
      <w:start w:val="1"/>
      <w:numFmt w:val="lowerLetter"/>
      <w:lvlText w:val="%2."/>
      <w:lvlJc w:val="left"/>
      <w:pPr>
        <w:tabs>
          <w:tab w:val="left" w:pos="2094"/>
        </w:tabs>
        <w:ind w:left="2094" w:hanging="360"/>
      </w:pPr>
    </w:lvl>
    <w:lvl w:ilvl="2">
      <w:start w:val="1"/>
      <w:numFmt w:val="lowerRoman"/>
      <w:lvlText w:val="%3."/>
      <w:lvlJc w:val="right"/>
      <w:pPr>
        <w:tabs>
          <w:tab w:val="left" w:pos="2814"/>
        </w:tabs>
        <w:ind w:left="2814" w:hanging="180"/>
      </w:pPr>
    </w:lvl>
    <w:lvl w:ilvl="3">
      <w:start w:val="1"/>
      <w:numFmt w:val="decimal"/>
      <w:lvlText w:val="%4."/>
      <w:lvlJc w:val="left"/>
      <w:pPr>
        <w:tabs>
          <w:tab w:val="left" w:pos="3534"/>
        </w:tabs>
        <w:ind w:left="3534" w:hanging="360"/>
      </w:pPr>
    </w:lvl>
    <w:lvl w:ilvl="4">
      <w:start w:val="1"/>
      <w:numFmt w:val="lowerLetter"/>
      <w:lvlText w:val="%5."/>
      <w:lvlJc w:val="left"/>
      <w:pPr>
        <w:tabs>
          <w:tab w:val="left" w:pos="4254"/>
        </w:tabs>
        <w:ind w:left="4254" w:hanging="360"/>
      </w:pPr>
    </w:lvl>
    <w:lvl w:ilvl="5">
      <w:start w:val="1"/>
      <w:numFmt w:val="lowerRoman"/>
      <w:lvlText w:val="%6."/>
      <w:lvlJc w:val="right"/>
      <w:pPr>
        <w:tabs>
          <w:tab w:val="left" w:pos="4974"/>
        </w:tabs>
        <w:ind w:left="4974" w:hanging="180"/>
      </w:pPr>
    </w:lvl>
    <w:lvl w:ilvl="6">
      <w:start w:val="1"/>
      <w:numFmt w:val="decimal"/>
      <w:lvlText w:val="%7."/>
      <w:lvlJc w:val="left"/>
      <w:pPr>
        <w:tabs>
          <w:tab w:val="left" w:pos="5694"/>
        </w:tabs>
        <w:ind w:left="5694" w:hanging="360"/>
      </w:pPr>
    </w:lvl>
    <w:lvl w:ilvl="7">
      <w:start w:val="1"/>
      <w:numFmt w:val="lowerLetter"/>
      <w:lvlText w:val="%8."/>
      <w:lvlJc w:val="left"/>
      <w:pPr>
        <w:tabs>
          <w:tab w:val="left" w:pos="6414"/>
        </w:tabs>
        <w:ind w:left="6414" w:hanging="360"/>
      </w:pPr>
    </w:lvl>
    <w:lvl w:ilvl="8">
      <w:start w:val="1"/>
      <w:numFmt w:val="lowerRoman"/>
      <w:lvlText w:val="%9."/>
      <w:lvlJc w:val="right"/>
      <w:pPr>
        <w:tabs>
          <w:tab w:val="left" w:pos="7134"/>
        </w:tabs>
        <w:ind w:left="7134" w:hanging="180"/>
      </w:pPr>
    </w:lvl>
  </w:abstractNum>
  <w:abstractNum w:abstractNumId="6" w15:restartNumberingAfterBreak="0">
    <w:nsid w:val="24C43E61"/>
    <w:multiLevelType w:val="multilevel"/>
    <w:tmpl w:val="24C43E61"/>
    <w:lvl w:ilvl="0">
      <w:start w:val="11"/>
      <w:numFmt w:val="decimal"/>
      <w:lvlText w:val="%1"/>
      <w:lvlJc w:val="left"/>
      <w:pPr>
        <w:ind w:left="390" w:hanging="390"/>
      </w:pPr>
      <w:rPr>
        <w:rFonts w:hint="default"/>
        <w:i w:val="0"/>
        <w:iCs/>
        <w:color w:val="auto"/>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7" w15:restartNumberingAfterBreak="0">
    <w:nsid w:val="25B95E92"/>
    <w:multiLevelType w:val="multilevel"/>
    <w:tmpl w:val="25B95E92"/>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2928118C"/>
    <w:multiLevelType w:val="multilevel"/>
    <w:tmpl w:val="2928118C"/>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9542377"/>
    <w:multiLevelType w:val="multilevel"/>
    <w:tmpl w:val="29542377"/>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383E5773"/>
    <w:multiLevelType w:val="multilevel"/>
    <w:tmpl w:val="383E5773"/>
    <w:lvl w:ilvl="0">
      <w:start w:val="6"/>
      <w:numFmt w:val="decimal"/>
      <w:pStyle w:val="SalisNumeroEsquerdaArial11"/>
      <w:lvlText w:val="%1."/>
      <w:lvlJc w:val="left"/>
      <w:pPr>
        <w:ind w:left="360" w:hanging="360"/>
      </w:pPr>
      <w:rPr>
        <w:rFonts w:hint="default"/>
      </w:rPr>
    </w:lvl>
    <w:lvl w:ilvl="1">
      <w:start w:val="1"/>
      <w:numFmt w:val="decimal"/>
      <w:lvlText w:val="%1.%2."/>
      <w:lvlJc w:val="left"/>
      <w:pPr>
        <w:ind w:left="574" w:hanging="432"/>
      </w:pPr>
      <w:rPr>
        <w:rFonts w:hint="default"/>
        <w:i w:val="0"/>
      </w:rPr>
    </w:lvl>
    <w:lvl w:ilvl="2">
      <w:start w:val="14"/>
      <w:numFmt w:val="decimal"/>
      <w:lvlText w:val="%1.%2.%3."/>
      <w:lvlJc w:val="left"/>
      <w:pPr>
        <w:ind w:left="1922" w:hanging="504"/>
      </w:pPr>
      <w:rPr>
        <w:rFonts w:hint="default"/>
      </w:rPr>
    </w:lvl>
    <w:lvl w:ilvl="3">
      <w:start w:val="1"/>
      <w:numFmt w:val="decimal"/>
      <w:lvlText w:val="%1.%2..%44.1"/>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426205A"/>
    <w:multiLevelType w:val="multilevel"/>
    <w:tmpl w:val="4426205A"/>
    <w:lvl w:ilvl="0">
      <w:start w:val="1"/>
      <w:numFmt w:val="decimal"/>
      <w:lvlText w:val="%1."/>
      <w:lvlJc w:val="left"/>
      <w:pPr>
        <w:ind w:left="360" w:hanging="360"/>
      </w:pPr>
      <w:rPr>
        <w:rFonts w:hint="default"/>
      </w:rPr>
    </w:lvl>
    <w:lvl w:ilvl="1">
      <w:start w:val="1"/>
      <w:numFmt w:val="decimal"/>
      <w:lvlText w:val="%1.%2."/>
      <w:lvlJc w:val="left"/>
      <w:pPr>
        <w:ind w:left="432" w:hanging="432"/>
      </w:pPr>
      <w:rPr>
        <w:rFonts w:ascii="Arial" w:hAnsi="Arial" w:hint="default"/>
        <w:b w:val="0"/>
        <w:bCs w:val="0"/>
        <w:i w:val="0"/>
        <w:iCs w:val="0"/>
        <w:color w:val="auto"/>
        <w:sz w:val="18"/>
        <w:szCs w:val="18"/>
      </w:rPr>
    </w:lvl>
    <w:lvl w:ilvl="2">
      <w:start w:val="1"/>
      <w:numFmt w:val="decimal"/>
      <w:pStyle w:val="Ttulo3"/>
      <w:lvlText w:val="%1.%2.%3."/>
      <w:lvlJc w:val="left"/>
      <w:pPr>
        <w:ind w:left="1922" w:hanging="504"/>
      </w:pPr>
      <w:rPr>
        <w:rFonts w:hint="default"/>
      </w:rPr>
    </w:lvl>
    <w:lvl w:ilvl="3">
      <w:start w:val="1"/>
      <w:numFmt w:val="decimal"/>
      <w:pStyle w:val="Ttulo4"/>
      <w:lvlText w:val="%1.%2.%3.%4."/>
      <w:lvlJc w:val="left"/>
      <w:pPr>
        <w:ind w:left="284" w:hanging="284"/>
      </w:pPr>
      <w:rPr>
        <w:rFonts w:hint="default"/>
        <w:b w:val="0"/>
        <w:i w:val="0"/>
      </w:rPr>
    </w:lvl>
    <w:lvl w:ilvl="4">
      <w:start w:val="1"/>
      <w:numFmt w:val="decimal"/>
      <w:pStyle w:val="Ttulo5"/>
      <w:lvlText w:val="%1.%2.%3.%4.%5."/>
      <w:lvlJc w:val="left"/>
      <w:pPr>
        <w:ind w:left="2232" w:hanging="792"/>
      </w:pPr>
      <w:rPr>
        <w:rFonts w:hint="default"/>
        <w:b w:val="0"/>
      </w:rPr>
    </w:lvl>
    <w:lvl w:ilvl="5">
      <w:start w:val="1"/>
      <w:numFmt w:val="decimal"/>
      <w:pStyle w:val="Ttulo6"/>
      <w:lvlText w:val="%1.%2.%3.%4.%5.%6."/>
      <w:lvlJc w:val="left"/>
      <w:pPr>
        <w:ind w:left="2736" w:hanging="936"/>
      </w:pPr>
      <w:rPr>
        <w:rFonts w:hint="default"/>
      </w:rPr>
    </w:lvl>
    <w:lvl w:ilvl="6">
      <w:start w:val="1"/>
      <w:numFmt w:val="decimal"/>
      <w:pStyle w:val="Ttulo7"/>
      <w:lvlText w:val="%1.%2.%3.%4.%5.%6.%7."/>
      <w:lvlJc w:val="left"/>
      <w:pPr>
        <w:ind w:left="3240" w:hanging="1080"/>
      </w:pPr>
      <w:rPr>
        <w:rFonts w:hint="default"/>
      </w:rPr>
    </w:lvl>
    <w:lvl w:ilvl="7">
      <w:start w:val="1"/>
      <w:numFmt w:val="decimal"/>
      <w:pStyle w:val="Ttulo8"/>
      <w:lvlText w:val="%1.%2.%3.%4.%5.%6.%7.%8."/>
      <w:lvlJc w:val="left"/>
      <w:pPr>
        <w:ind w:left="3744" w:hanging="1224"/>
      </w:pPr>
      <w:rPr>
        <w:rFonts w:hint="default"/>
      </w:rPr>
    </w:lvl>
    <w:lvl w:ilvl="8">
      <w:start w:val="1"/>
      <w:numFmt w:val="decimal"/>
      <w:pStyle w:val="Ttulo9"/>
      <w:lvlText w:val="%1.%2.%3.%4.%5.%6.%7.%8.%9."/>
      <w:lvlJc w:val="left"/>
      <w:pPr>
        <w:ind w:left="4320" w:hanging="1440"/>
      </w:pPr>
      <w:rPr>
        <w:rFonts w:hint="default"/>
      </w:rPr>
    </w:lvl>
  </w:abstractNum>
  <w:abstractNum w:abstractNumId="12" w15:restartNumberingAfterBreak="0">
    <w:nsid w:val="476708DF"/>
    <w:multiLevelType w:val="multilevel"/>
    <w:tmpl w:val="476708DF"/>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13" w15:restartNumberingAfterBreak="0">
    <w:nsid w:val="50290C0B"/>
    <w:multiLevelType w:val="multilevel"/>
    <w:tmpl w:val="50290C0B"/>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14" w15:restartNumberingAfterBreak="0">
    <w:nsid w:val="520F70B1"/>
    <w:multiLevelType w:val="multilevel"/>
    <w:tmpl w:val="520F70B1"/>
    <w:lvl w:ilvl="0">
      <w:start w:val="1"/>
      <w:numFmt w:val="decimal"/>
      <w:lvlText w:val="%1)"/>
      <w:lvlJc w:val="left"/>
      <w:pPr>
        <w:tabs>
          <w:tab w:val="left" w:pos="0"/>
        </w:tabs>
        <w:ind w:left="360" w:hanging="360"/>
      </w:pPr>
    </w:lvl>
    <w:lvl w:ilvl="1">
      <w:start w:val="1"/>
      <w:numFmt w:val="lowerLetter"/>
      <w:lvlText w:val="%2)"/>
      <w:lvlJc w:val="left"/>
      <w:pPr>
        <w:tabs>
          <w:tab w:val="left" w:pos="0"/>
        </w:tabs>
        <w:ind w:left="720" w:hanging="360"/>
      </w:pPr>
    </w:lvl>
    <w:lvl w:ilvl="2">
      <w:start w:val="1"/>
      <w:numFmt w:val="lowerRoman"/>
      <w:lvlText w:val="%3)"/>
      <w:lvlJc w:val="left"/>
      <w:pPr>
        <w:tabs>
          <w:tab w:val="left" w:pos="0"/>
        </w:tabs>
        <w:ind w:left="1080" w:hanging="360"/>
      </w:pPr>
    </w:lvl>
    <w:lvl w:ilvl="3">
      <w:start w:val="1"/>
      <w:numFmt w:val="decimal"/>
      <w:lvlText w:val="(%4)"/>
      <w:lvlJc w:val="left"/>
      <w:pPr>
        <w:tabs>
          <w:tab w:val="left" w:pos="0"/>
        </w:tabs>
        <w:ind w:left="1440" w:hanging="360"/>
      </w:pPr>
      <w:rPr>
        <w:i w:val="0"/>
      </w:rPr>
    </w:lvl>
    <w:lvl w:ilvl="4">
      <w:start w:val="1"/>
      <w:numFmt w:val="lowerLetter"/>
      <w:lvlText w:val="(%5)"/>
      <w:lvlJc w:val="left"/>
      <w:pPr>
        <w:tabs>
          <w:tab w:val="left" w:pos="0"/>
        </w:tabs>
        <w:ind w:left="1800" w:hanging="360"/>
      </w:p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5" w15:restartNumberingAfterBreak="0">
    <w:nsid w:val="58C70088"/>
    <w:multiLevelType w:val="multilevel"/>
    <w:tmpl w:val="58C70088"/>
    <w:lvl w:ilvl="0">
      <w:start w:val="1"/>
      <w:numFmt w:val="decimal"/>
      <w:pStyle w:val="Nivel1"/>
      <w:lvlText w:val="%1."/>
      <w:lvlJc w:val="left"/>
      <w:pPr>
        <w:ind w:left="502" w:hanging="360"/>
      </w:pPr>
      <w:rPr>
        <w:b/>
        <w:i w:val="0"/>
        <w:strike w:val="0"/>
        <w:dstrike w:val="0"/>
        <w:u w:val="none"/>
      </w:rPr>
    </w:lvl>
    <w:lvl w:ilvl="1">
      <w:start w:val="1"/>
      <w:numFmt w:val="decimal"/>
      <w:pStyle w:val="Nivel2"/>
      <w:lvlText w:val="%1.%2."/>
      <w:lvlJc w:val="left"/>
      <w:pPr>
        <w:ind w:left="858" w:hanging="432"/>
      </w:pPr>
      <w:rPr>
        <w:b w:val="0"/>
        <w:strike w:val="0"/>
        <w:dstrike w:val="0"/>
        <w:u w:val="none"/>
      </w:rPr>
    </w:lvl>
    <w:lvl w:ilvl="2">
      <w:start w:val="1"/>
      <w:numFmt w:val="decimal"/>
      <w:pStyle w:val="Nivel3"/>
      <w:lvlText w:val="%1.%2.%3."/>
      <w:lvlJc w:val="left"/>
      <w:pPr>
        <w:ind w:left="1224" w:hanging="504"/>
      </w:pPr>
      <w:rPr>
        <w:i w:val="0"/>
        <w:strike w:val="0"/>
        <w:dstrike w:val="0"/>
        <w:u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AA704D6"/>
    <w:multiLevelType w:val="multilevel"/>
    <w:tmpl w:val="5AA704D6"/>
    <w:lvl w:ilvl="0">
      <w:start w:val="1"/>
      <w:numFmt w:val="bullet"/>
      <w:pStyle w:val="Commarcadores5"/>
      <w:lvlText w:val=""/>
      <w:lvlJc w:val="left"/>
      <w:pPr>
        <w:tabs>
          <w:tab w:val="left" w:pos="1492"/>
        </w:tabs>
        <w:ind w:left="1492"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7" w15:restartNumberingAfterBreak="0">
    <w:nsid w:val="5F4C4004"/>
    <w:multiLevelType w:val="multilevel"/>
    <w:tmpl w:val="5F4C4004"/>
    <w:lvl w:ilvl="0">
      <w:start w:val="1"/>
      <w:numFmt w:val="decimal"/>
      <w:pStyle w:val="Nivel10"/>
      <w:lvlText w:val="%1."/>
      <w:lvlJc w:val="left"/>
      <w:pPr>
        <w:ind w:left="360" w:hanging="360"/>
      </w:pPr>
    </w:lvl>
    <w:lvl w:ilvl="1">
      <w:start w:val="1"/>
      <w:numFmt w:val="decimal"/>
      <w:lvlText w:val="%1.%2."/>
      <w:lvlJc w:val="left"/>
      <w:pPr>
        <w:ind w:left="1283" w:hanging="432"/>
      </w:pPr>
      <w:rPr>
        <w:i w:val="0"/>
      </w:rPr>
    </w:lvl>
    <w:lvl w:ilvl="2">
      <w:start w:val="1"/>
      <w:numFmt w:val="decimal"/>
      <w:lvlText w:val="%1.%2.%3."/>
      <w:lvlJc w:val="left"/>
      <w:pPr>
        <w:ind w:left="1922"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1DD361E"/>
    <w:multiLevelType w:val="multilevel"/>
    <w:tmpl w:val="61DD361E"/>
    <w:lvl w:ilvl="0">
      <w:start w:val="1"/>
      <w:numFmt w:val="decimal"/>
      <w:pStyle w:val="Nivel01"/>
      <w:suff w:val="space"/>
      <w:lvlText w:val="%1."/>
      <w:lvlJc w:val="left"/>
      <w:pPr>
        <w:ind w:left="0" w:firstLine="0"/>
      </w:pPr>
      <w:rPr>
        <w:b/>
        <w:bCs/>
        <w:i w:val="0"/>
      </w:rPr>
    </w:lvl>
    <w:lvl w:ilvl="1">
      <w:start w:val="1"/>
      <w:numFmt w:val="decimal"/>
      <w:suff w:val="space"/>
      <w:lvlText w:val="%1.%2."/>
      <w:lvlJc w:val="left"/>
      <w:pPr>
        <w:ind w:left="284"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left" w:pos="288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3960"/>
        </w:tabs>
        <w:ind w:left="3744" w:hanging="1224"/>
      </w:pPr>
    </w:lvl>
    <w:lvl w:ilvl="8">
      <w:start w:val="1"/>
      <w:numFmt w:val="decimal"/>
      <w:lvlText w:val="%1.%2.%3.%4.%5.%6.%7.%8.%9."/>
      <w:lvlJc w:val="left"/>
      <w:pPr>
        <w:tabs>
          <w:tab w:val="left" w:pos="4680"/>
        </w:tabs>
        <w:ind w:left="4320" w:hanging="1440"/>
      </w:pPr>
    </w:lvl>
  </w:abstractNum>
  <w:abstractNum w:abstractNumId="19" w15:restartNumberingAfterBreak="0">
    <w:nsid w:val="70BF0E34"/>
    <w:multiLevelType w:val="multilevel"/>
    <w:tmpl w:val="70BF0E34"/>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72031F72"/>
    <w:multiLevelType w:val="multilevel"/>
    <w:tmpl w:val="72031F72"/>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EA9AFCF"/>
    <w:multiLevelType w:val="multilevel"/>
    <w:tmpl w:val="7EA9AFCF"/>
    <w:lvl w:ilvl="0">
      <w:start w:val="19"/>
      <w:numFmt w:val="decimal"/>
      <w:lvlText w:val="%1."/>
      <w:lvlJc w:val="left"/>
      <w:pPr>
        <w:tabs>
          <w:tab w:val="left" w:pos="0"/>
        </w:tabs>
        <w:ind w:left="360" w:hanging="360"/>
      </w:pPr>
    </w:lvl>
    <w:lvl w:ilvl="1">
      <w:start w:val="1"/>
      <w:numFmt w:val="decimal"/>
      <w:lvlText w:val="%1.%2."/>
      <w:lvlJc w:val="left"/>
      <w:pPr>
        <w:tabs>
          <w:tab w:val="left" w:pos="0"/>
        </w:tabs>
        <w:ind w:left="792" w:hanging="432"/>
      </w:pPr>
      <w:rPr>
        <w:b w:val="0"/>
        <w:i w:val="0"/>
      </w:rPr>
    </w:lvl>
    <w:lvl w:ilvl="2">
      <w:start w:val="1"/>
      <w:numFmt w:val="lowerLetter"/>
      <w:lvlText w:val="%3)"/>
      <w:lvlJc w:val="left"/>
      <w:pPr>
        <w:tabs>
          <w:tab w:val="left" w:pos="0"/>
        </w:tabs>
        <w:ind w:left="1224" w:hanging="504"/>
      </w:pPr>
      <w:rPr>
        <w:b w:val="0"/>
      </w:r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num w:numId="1" w16cid:durableId="2043246176">
    <w:abstractNumId w:val="11"/>
  </w:num>
  <w:num w:numId="2" w16cid:durableId="2084334594">
    <w:abstractNumId w:val="16"/>
  </w:num>
  <w:num w:numId="3" w16cid:durableId="57673504">
    <w:abstractNumId w:val="17"/>
  </w:num>
  <w:num w:numId="4" w16cid:durableId="1859200661">
    <w:abstractNumId w:val="18"/>
  </w:num>
  <w:num w:numId="5" w16cid:durableId="20175321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7249265">
    <w:abstractNumId w:val="10"/>
  </w:num>
  <w:num w:numId="7" w16cid:durableId="1196119583">
    <w:abstractNumId w:val="5"/>
  </w:num>
  <w:num w:numId="8" w16cid:durableId="1297419515">
    <w:abstractNumId w:val="4"/>
  </w:num>
  <w:num w:numId="9" w16cid:durableId="1525746339">
    <w:abstractNumId w:val="20"/>
  </w:num>
  <w:num w:numId="10" w16cid:durableId="650645858">
    <w:abstractNumId w:val="12"/>
  </w:num>
  <w:num w:numId="11" w16cid:durableId="1645965209">
    <w:abstractNumId w:val="3"/>
  </w:num>
  <w:num w:numId="12" w16cid:durableId="447748878">
    <w:abstractNumId w:val="2"/>
  </w:num>
  <w:num w:numId="13" w16cid:durableId="510415907">
    <w:abstractNumId w:val="7"/>
  </w:num>
  <w:num w:numId="14" w16cid:durableId="1242446908">
    <w:abstractNumId w:val="13"/>
  </w:num>
  <w:num w:numId="15" w16cid:durableId="1367104299">
    <w:abstractNumId w:val="19"/>
  </w:num>
  <w:num w:numId="16" w16cid:durableId="1831210125">
    <w:abstractNumId w:val="6"/>
  </w:num>
  <w:num w:numId="17" w16cid:durableId="2094542603">
    <w:abstractNumId w:val="21"/>
  </w:num>
  <w:num w:numId="18" w16cid:durableId="1931040300">
    <w:abstractNumId w:val="14"/>
  </w:num>
  <w:num w:numId="19" w16cid:durableId="1877548218">
    <w:abstractNumId w:val="0"/>
  </w:num>
  <w:num w:numId="20" w16cid:durableId="96338854">
    <w:abstractNumId w:val="8"/>
  </w:num>
  <w:num w:numId="21" w16cid:durableId="511383227">
    <w:abstractNumId w:val="9"/>
  </w:num>
  <w:num w:numId="22" w16cid:durableId="1844122793">
    <w:abstractNumId w:val="1"/>
  </w:num>
  <w:num w:numId="23" w16cid:durableId="13254743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787"/>
    <w:rsid w:val="00002D2A"/>
    <w:rsid w:val="00003966"/>
    <w:rsid w:val="0001159C"/>
    <w:rsid w:val="00022E4A"/>
    <w:rsid w:val="00025406"/>
    <w:rsid w:val="00040D39"/>
    <w:rsid w:val="000425AB"/>
    <w:rsid w:val="00054A82"/>
    <w:rsid w:val="00064935"/>
    <w:rsid w:val="00073A80"/>
    <w:rsid w:val="000A58EF"/>
    <w:rsid w:val="000A5C63"/>
    <w:rsid w:val="000A62C8"/>
    <w:rsid w:val="000B5CD5"/>
    <w:rsid w:val="000D0B49"/>
    <w:rsid w:val="000D13E3"/>
    <w:rsid w:val="000D1838"/>
    <w:rsid w:val="000D62E0"/>
    <w:rsid w:val="000E0BB9"/>
    <w:rsid w:val="000F0145"/>
    <w:rsid w:val="0010119F"/>
    <w:rsid w:val="00104571"/>
    <w:rsid w:val="00122A72"/>
    <w:rsid w:val="00123A6B"/>
    <w:rsid w:val="00131CC6"/>
    <w:rsid w:val="00135BEF"/>
    <w:rsid w:val="0014109B"/>
    <w:rsid w:val="001571D0"/>
    <w:rsid w:val="00163819"/>
    <w:rsid w:val="0018615A"/>
    <w:rsid w:val="001877DC"/>
    <w:rsid w:val="00191B50"/>
    <w:rsid w:val="00194CFD"/>
    <w:rsid w:val="00195787"/>
    <w:rsid w:val="001A6554"/>
    <w:rsid w:val="001B3F02"/>
    <w:rsid w:val="001C5C08"/>
    <w:rsid w:val="001C723F"/>
    <w:rsid w:val="00210941"/>
    <w:rsid w:val="002154ED"/>
    <w:rsid w:val="00225216"/>
    <w:rsid w:val="00230969"/>
    <w:rsid w:val="00230E72"/>
    <w:rsid w:val="002318EE"/>
    <w:rsid w:val="00242E92"/>
    <w:rsid w:val="002444B6"/>
    <w:rsid w:val="00252014"/>
    <w:rsid w:val="00252EE9"/>
    <w:rsid w:val="0025380C"/>
    <w:rsid w:val="00254F46"/>
    <w:rsid w:val="00266078"/>
    <w:rsid w:val="00275798"/>
    <w:rsid w:val="0027641D"/>
    <w:rsid w:val="002A29F6"/>
    <w:rsid w:val="002A48AB"/>
    <w:rsid w:val="002A62F2"/>
    <w:rsid w:val="002B7158"/>
    <w:rsid w:val="002B7D60"/>
    <w:rsid w:val="002D35D6"/>
    <w:rsid w:val="002D7E78"/>
    <w:rsid w:val="002E549D"/>
    <w:rsid w:val="002E7AB5"/>
    <w:rsid w:val="002F4D24"/>
    <w:rsid w:val="002F756A"/>
    <w:rsid w:val="00304D62"/>
    <w:rsid w:val="00312FEA"/>
    <w:rsid w:val="00313761"/>
    <w:rsid w:val="00313785"/>
    <w:rsid w:val="00315638"/>
    <w:rsid w:val="00317E71"/>
    <w:rsid w:val="0032139D"/>
    <w:rsid w:val="00324EDF"/>
    <w:rsid w:val="00335697"/>
    <w:rsid w:val="003369A6"/>
    <w:rsid w:val="00337554"/>
    <w:rsid w:val="00345DC9"/>
    <w:rsid w:val="00351C39"/>
    <w:rsid w:val="003570DA"/>
    <w:rsid w:val="003804AE"/>
    <w:rsid w:val="00394D5F"/>
    <w:rsid w:val="003A2662"/>
    <w:rsid w:val="003A4456"/>
    <w:rsid w:val="003A5295"/>
    <w:rsid w:val="003B11E3"/>
    <w:rsid w:val="003B787E"/>
    <w:rsid w:val="003D2CA2"/>
    <w:rsid w:val="003D4A95"/>
    <w:rsid w:val="003D5227"/>
    <w:rsid w:val="003E4D83"/>
    <w:rsid w:val="003F1825"/>
    <w:rsid w:val="003F4DBD"/>
    <w:rsid w:val="003F500E"/>
    <w:rsid w:val="00403A10"/>
    <w:rsid w:val="00404D08"/>
    <w:rsid w:val="004063C2"/>
    <w:rsid w:val="00414A38"/>
    <w:rsid w:val="00416633"/>
    <w:rsid w:val="004174E3"/>
    <w:rsid w:val="00422FE7"/>
    <w:rsid w:val="004251A4"/>
    <w:rsid w:val="0043170D"/>
    <w:rsid w:val="00434F64"/>
    <w:rsid w:val="0044315D"/>
    <w:rsid w:val="0044702E"/>
    <w:rsid w:val="00447B63"/>
    <w:rsid w:val="00447BEF"/>
    <w:rsid w:val="00450266"/>
    <w:rsid w:val="004629C6"/>
    <w:rsid w:val="00470A8D"/>
    <w:rsid w:val="004720B9"/>
    <w:rsid w:val="00477A20"/>
    <w:rsid w:val="00482E6D"/>
    <w:rsid w:val="004871F1"/>
    <w:rsid w:val="0048745B"/>
    <w:rsid w:val="00487AEC"/>
    <w:rsid w:val="004922A2"/>
    <w:rsid w:val="00492F98"/>
    <w:rsid w:val="00494F0A"/>
    <w:rsid w:val="00497259"/>
    <w:rsid w:val="004A1A69"/>
    <w:rsid w:val="004A40F3"/>
    <w:rsid w:val="004B5C84"/>
    <w:rsid w:val="004C1C27"/>
    <w:rsid w:val="004E1CA4"/>
    <w:rsid w:val="004E712D"/>
    <w:rsid w:val="004F506A"/>
    <w:rsid w:val="005006DB"/>
    <w:rsid w:val="00513C95"/>
    <w:rsid w:val="005156AC"/>
    <w:rsid w:val="005262A8"/>
    <w:rsid w:val="00546ADF"/>
    <w:rsid w:val="00552B81"/>
    <w:rsid w:val="00553758"/>
    <w:rsid w:val="00561155"/>
    <w:rsid w:val="005807EC"/>
    <w:rsid w:val="0058089D"/>
    <w:rsid w:val="005853CE"/>
    <w:rsid w:val="005A0B33"/>
    <w:rsid w:val="005A0C7A"/>
    <w:rsid w:val="005A51E8"/>
    <w:rsid w:val="005B345F"/>
    <w:rsid w:val="005B3CB4"/>
    <w:rsid w:val="005C41B6"/>
    <w:rsid w:val="005D7737"/>
    <w:rsid w:val="005F39EB"/>
    <w:rsid w:val="005F6D6E"/>
    <w:rsid w:val="00602349"/>
    <w:rsid w:val="0061397F"/>
    <w:rsid w:val="006146CF"/>
    <w:rsid w:val="006151BA"/>
    <w:rsid w:val="00617698"/>
    <w:rsid w:val="006314E9"/>
    <w:rsid w:val="00640955"/>
    <w:rsid w:val="00642767"/>
    <w:rsid w:val="00645265"/>
    <w:rsid w:val="006466E1"/>
    <w:rsid w:val="0064716A"/>
    <w:rsid w:val="00647DA8"/>
    <w:rsid w:val="006506AE"/>
    <w:rsid w:val="00656E9A"/>
    <w:rsid w:val="00661793"/>
    <w:rsid w:val="00667772"/>
    <w:rsid w:val="006723C3"/>
    <w:rsid w:val="006757D3"/>
    <w:rsid w:val="0069429E"/>
    <w:rsid w:val="00697869"/>
    <w:rsid w:val="006A50FF"/>
    <w:rsid w:val="006C27E6"/>
    <w:rsid w:val="006D546C"/>
    <w:rsid w:val="006E2B79"/>
    <w:rsid w:val="006E3D66"/>
    <w:rsid w:val="006E4496"/>
    <w:rsid w:val="006E7396"/>
    <w:rsid w:val="006F29AD"/>
    <w:rsid w:val="0070435E"/>
    <w:rsid w:val="00711ECE"/>
    <w:rsid w:val="00712E04"/>
    <w:rsid w:val="00720609"/>
    <w:rsid w:val="0072557C"/>
    <w:rsid w:val="007312B8"/>
    <w:rsid w:val="0074359C"/>
    <w:rsid w:val="007464EA"/>
    <w:rsid w:val="00747EBB"/>
    <w:rsid w:val="00750831"/>
    <w:rsid w:val="007535D5"/>
    <w:rsid w:val="00754691"/>
    <w:rsid w:val="00772F28"/>
    <w:rsid w:val="00780E4D"/>
    <w:rsid w:val="00782642"/>
    <w:rsid w:val="007856B1"/>
    <w:rsid w:val="007861D9"/>
    <w:rsid w:val="00792C4F"/>
    <w:rsid w:val="00792EFD"/>
    <w:rsid w:val="00793F13"/>
    <w:rsid w:val="00796214"/>
    <w:rsid w:val="007A512D"/>
    <w:rsid w:val="007B50C0"/>
    <w:rsid w:val="007C0405"/>
    <w:rsid w:val="007D1562"/>
    <w:rsid w:val="007D4F40"/>
    <w:rsid w:val="007D5648"/>
    <w:rsid w:val="007D77AE"/>
    <w:rsid w:val="007E4F4D"/>
    <w:rsid w:val="007E50AD"/>
    <w:rsid w:val="00800F2B"/>
    <w:rsid w:val="008034B1"/>
    <w:rsid w:val="008065EE"/>
    <w:rsid w:val="008078B0"/>
    <w:rsid w:val="00814931"/>
    <w:rsid w:val="008154F5"/>
    <w:rsid w:val="008227EC"/>
    <w:rsid w:val="00824928"/>
    <w:rsid w:val="008540D8"/>
    <w:rsid w:val="008566DD"/>
    <w:rsid w:val="00892576"/>
    <w:rsid w:val="0089665C"/>
    <w:rsid w:val="008C23FF"/>
    <w:rsid w:val="008C54E4"/>
    <w:rsid w:val="008C63D1"/>
    <w:rsid w:val="008C6744"/>
    <w:rsid w:val="008E166E"/>
    <w:rsid w:val="008F3BD8"/>
    <w:rsid w:val="0090037C"/>
    <w:rsid w:val="00912689"/>
    <w:rsid w:val="009271C3"/>
    <w:rsid w:val="009350A3"/>
    <w:rsid w:val="00937A6A"/>
    <w:rsid w:val="00940753"/>
    <w:rsid w:val="00946A34"/>
    <w:rsid w:val="009502A0"/>
    <w:rsid w:val="00951247"/>
    <w:rsid w:val="00973203"/>
    <w:rsid w:val="009937E6"/>
    <w:rsid w:val="009A4E8F"/>
    <w:rsid w:val="009A60CB"/>
    <w:rsid w:val="009C1A02"/>
    <w:rsid w:val="009E113C"/>
    <w:rsid w:val="009F2EB2"/>
    <w:rsid w:val="00A05241"/>
    <w:rsid w:val="00A21E8F"/>
    <w:rsid w:val="00A30A28"/>
    <w:rsid w:val="00A33729"/>
    <w:rsid w:val="00A45504"/>
    <w:rsid w:val="00A64BC7"/>
    <w:rsid w:val="00A738FA"/>
    <w:rsid w:val="00A74E08"/>
    <w:rsid w:val="00A85110"/>
    <w:rsid w:val="00A87093"/>
    <w:rsid w:val="00A93E08"/>
    <w:rsid w:val="00A942C3"/>
    <w:rsid w:val="00AB336E"/>
    <w:rsid w:val="00AB700F"/>
    <w:rsid w:val="00AC3B53"/>
    <w:rsid w:val="00AD321A"/>
    <w:rsid w:val="00AE0A71"/>
    <w:rsid w:val="00AF32BC"/>
    <w:rsid w:val="00AF3581"/>
    <w:rsid w:val="00AF781E"/>
    <w:rsid w:val="00AF7DA7"/>
    <w:rsid w:val="00B15476"/>
    <w:rsid w:val="00B17DC6"/>
    <w:rsid w:val="00B525B8"/>
    <w:rsid w:val="00B54C7E"/>
    <w:rsid w:val="00B558E1"/>
    <w:rsid w:val="00B66F19"/>
    <w:rsid w:val="00B67441"/>
    <w:rsid w:val="00B72EE9"/>
    <w:rsid w:val="00B82EC1"/>
    <w:rsid w:val="00B8510A"/>
    <w:rsid w:val="00B85C8F"/>
    <w:rsid w:val="00B90BA6"/>
    <w:rsid w:val="00B9643D"/>
    <w:rsid w:val="00BB0870"/>
    <w:rsid w:val="00BB1363"/>
    <w:rsid w:val="00BB2C3E"/>
    <w:rsid w:val="00BB598F"/>
    <w:rsid w:val="00BC4F69"/>
    <w:rsid w:val="00BE2F47"/>
    <w:rsid w:val="00BE53BB"/>
    <w:rsid w:val="00BE591B"/>
    <w:rsid w:val="00BF0117"/>
    <w:rsid w:val="00BF319D"/>
    <w:rsid w:val="00BF4761"/>
    <w:rsid w:val="00C01D97"/>
    <w:rsid w:val="00C0241D"/>
    <w:rsid w:val="00C107EE"/>
    <w:rsid w:val="00C11C38"/>
    <w:rsid w:val="00C154AA"/>
    <w:rsid w:val="00C1654F"/>
    <w:rsid w:val="00C2046E"/>
    <w:rsid w:val="00C30204"/>
    <w:rsid w:val="00C433C3"/>
    <w:rsid w:val="00C44CC3"/>
    <w:rsid w:val="00C45096"/>
    <w:rsid w:val="00C50DCE"/>
    <w:rsid w:val="00C5395D"/>
    <w:rsid w:val="00C63DD4"/>
    <w:rsid w:val="00C754FF"/>
    <w:rsid w:val="00C7600F"/>
    <w:rsid w:val="00C804D0"/>
    <w:rsid w:val="00C9098A"/>
    <w:rsid w:val="00CA1C08"/>
    <w:rsid w:val="00CB041E"/>
    <w:rsid w:val="00CB5F48"/>
    <w:rsid w:val="00CD2701"/>
    <w:rsid w:val="00CD3A73"/>
    <w:rsid w:val="00CE00C9"/>
    <w:rsid w:val="00CE1A91"/>
    <w:rsid w:val="00CE4C58"/>
    <w:rsid w:val="00CE53E5"/>
    <w:rsid w:val="00CE7B83"/>
    <w:rsid w:val="00D03194"/>
    <w:rsid w:val="00D0795F"/>
    <w:rsid w:val="00D11FB6"/>
    <w:rsid w:val="00D15CE1"/>
    <w:rsid w:val="00D166E7"/>
    <w:rsid w:val="00D20659"/>
    <w:rsid w:val="00D24004"/>
    <w:rsid w:val="00D40051"/>
    <w:rsid w:val="00D43BAF"/>
    <w:rsid w:val="00D4570A"/>
    <w:rsid w:val="00D52F83"/>
    <w:rsid w:val="00D62B23"/>
    <w:rsid w:val="00D72CFE"/>
    <w:rsid w:val="00D734D3"/>
    <w:rsid w:val="00D7605E"/>
    <w:rsid w:val="00D83B02"/>
    <w:rsid w:val="00D901EE"/>
    <w:rsid w:val="00D902D6"/>
    <w:rsid w:val="00D945C1"/>
    <w:rsid w:val="00DB435A"/>
    <w:rsid w:val="00DB6F67"/>
    <w:rsid w:val="00DC6924"/>
    <w:rsid w:val="00DE596B"/>
    <w:rsid w:val="00DF5E89"/>
    <w:rsid w:val="00E03B99"/>
    <w:rsid w:val="00E1163C"/>
    <w:rsid w:val="00E23909"/>
    <w:rsid w:val="00E31561"/>
    <w:rsid w:val="00E43629"/>
    <w:rsid w:val="00E44B0C"/>
    <w:rsid w:val="00E52524"/>
    <w:rsid w:val="00E578A6"/>
    <w:rsid w:val="00E67DCF"/>
    <w:rsid w:val="00E726A9"/>
    <w:rsid w:val="00EA06C5"/>
    <w:rsid w:val="00EB556D"/>
    <w:rsid w:val="00EB6AF5"/>
    <w:rsid w:val="00EB7F69"/>
    <w:rsid w:val="00ED4EB4"/>
    <w:rsid w:val="00ED7983"/>
    <w:rsid w:val="00F12161"/>
    <w:rsid w:val="00F12A88"/>
    <w:rsid w:val="00F147BA"/>
    <w:rsid w:val="00F16FA0"/>
    <w:rsid w:val="00F233BA"/>
    <w:rsid w:val="00F35B8E"/>
    <w:rsid w:val="00F43482"/>
    <w:rsid w:val="00F4673F"/>
    <w:rsid w:val="00F51B33"/>
    <w:rsid w:val="00F559A1"/>
    <w:rsid w:val="00F6478A"/>
    <w:rsid w:val="00F672BD"/>
    <w:rsid w:val="00F67610"/>
    <w:rsid w:val="00F713B3"/>
    <w:rsid w:val="00F74382"/>
    <w:rsid w:val="00F7797B"/>
    <w:rsid w:val="00F840C2"/>
    <w:rsid w:val="00F9267B"/>
    <w:rsid w:val="00FA11BA"/>
    <w:rsid w:val="00FA265F"/>
    <w:rsid w:val="00FA37D5"/>
    <w:rsid w:val="00FA404A"/>
    <w:rsid w:val="00FA6B1D"/>
    <w:rsid w:val="00FC1C20"/>
    <w:rsid w:val="00FC2D21"/>
    <w:rsid w:val="00FC4618"/>
    <w:rsid w:val="00FD242D"/>
    <w:rsid w:val="00FE7935"/>
    <w:rsid w:val="00FF6C7B"/>
    <w:rsid w:val="69AB79A8"/>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3E5F7AED"/>
  <w15:docId w15:val="{1A9FAC3A-3A14-4EFA-8D96-AA7509754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unhideWhenUsed="1" w:qFormat="1"/>
    <w:lsdException w:name="header" w:uiPriority="99" w:unhideWhenUsed="1"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qFormat="1"/>
    <w:lsdException w:name="Body Text Indent 3" w:unhideWhenUsed="1"/>
    <w:lsdException w:name="Hyperlink" w:unhideWhenUsed="1"/>
    <w:lsdException w:name="Followed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lsdException w:name="Table Theme" w:semiHidden="1" w:unhideWhenUsed="1"/>
    <w:lsdException w:name="Placeholder Text" w:semiHidden="1" w:uiPriority="67"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ascii="Arial" w:hAnsi="Arial" w:cs="Tahoma"/>
      <w:szCs w:val="24"/>
    </w:rPr>
  </w:style>
  <w:style w:type="paragraph" w:styleId="Ttulo1">
    <w:name w:val="heading 1"/>
    <w:basedOn w:val="Normal"/>
    <w:next w:val="Normal"/>
    <w:link w:val="Ttulo1Char"/>
    <w:uiPriority w:val="9"/>
    <w:qFormat/>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pPr>
      <w:keepNext/>
      <w:tabs>
        <w:tab w:val="left" w:pos="1701"/>
      </w:tabs>
      <w:ind w:right="-1"/>
      <w:jc w:val="center"/>
      <w:outlineLvl w:val="1"/>
    </w:pPr>
    <w:rPr>
      <w:rFonts w:ascii="Times New Roman" w:hAnsi="Times New Roman" w:cs="Times New Roman"/>
      <w:b/>
      <w:color w:val="000000"/>
      <w:sz w:val="24"/>
      <w:szCs w:val="20"/>
    </w:rPr>
  </w:style>
  <w:style w:type="paragraph" w:styleId="Ttulo3">
    <w:name w:val="heading 3"/>
    <w:basedOn w:val="Normal"/>
    <w:next w:val="Normal"/>
    <w:link w:val="Ttulo3Char"/>
    <w:uiPriority w:val="9"/>
    <w:qFormat/>
    <w:pPr>
      <w:keepNext/>
      <w:numPr>
        <w:ilvl w:val="2"/>
        <w:numId w:val="1"/>
      </w:numPr>
      <w:spacing w:before="240" w:after="60"/>
      <w:outlineLvl w:val="2"/>
    </w:pPr>
    <w:rPr>
      <w:rFonts w:ascii="Times New Roman" w:hAnsi="Times New Roman" w:cs="Times New Roman"/>
      <w:b/>
      <w:sz w:val="24"/>
      <w:szCs w:val="20"/>
      <w:lang w:eastAsia="zh-CN"/>
    </w:rPr>
  </w:style>
  <w:style w:type="paragraph" w:styleId="Ttulo4">
    <w:name w:val="heading 4"/>
    <w:basedOn w:val="Normal"/>
    <w:next w:val="Normal"/>
    <w:link w:val="Ttulo4Char"/>
    <w:qFormat/>
    <w:pPr>
      <w:keepNext/>
      <w:numPr>
        <w:ilvl w:val="3"/>
        <w:numId w:val="1"/>
      </w:numPr>
      <w:spacing w:before="240" w:after="60"/>
      <w:outlineLvl w:val="3"/>
    </w:pPr>
    <w:rPr>
      <w:rFonts w:ascii="Times New Roman" w:hAnsi="Times New Roman" w:cs="Times New Roman"/>
      <w:b/>
      <w:i/>
      <w:sz w:val="24"/>
      <w:szCs w:val="20"/>
      <w:lang w:eastAsia="zh-CN"/>
    </w:rPr>
  </w:style>
  <w:style w:type="paragraph" w:styleId="Ttulo5">
    <w:name w:val="heading 5"/>
    <w:basedOn w:val="Normal"/>
    <w:next w:val="Normal"/>
    <w:link w:val="Ttulo5Char"/>
    <w:qFormat/>
    <w:pPr>
      <w:numPr>
        <w:ilvl w:val="4"/>
        <w:numId w:val="1"/>
      </w:numPr>
      <w:spacing w:before="240" w:after="60"/>
      <w:outlineLvl w:val="4"/>
    </w:pPr>
    <w:rPr>
      <w:rFonts w:cs="Arial"/>
      <w:sz w:val="22"/>
      <w:szCs w:val="20"/>
      <w:lang w:eastAsia="zh-CN"/>
    </w:rPr>
  </w:style>
  <w:style w:type="paragraph" w:styleId="Ttulo6">
    <w:name w:val="heading 6"/>
    <w:basedOn w:val="Normal"/>
    <w:next w:val="Normal"/>
    <w:link w:val="Ttulo6Char"/>
    <w:uiPriority w:val="9"/>
    <w:qFormat/>
    <w:pPr>
      <w:numPr>
        <w:ilvl w:val="5"/>
        <w:numId w:val="1"/>
      </w:numPr>
      <w:spacing w:before="240" w:after="60"/>
      <w:outlineLvl w:val="5"/>
    </w:pPr>
    <w:rPr>
      <w:rFonts w:cs="Arial"/>
      <w:i/>
      <w:sz w:val="22"/>
      <w:szCs w:val="20"/>
      <w:lang w:eastAsia="zh-CN"/>
    </w:rPr>
  </w:style>
  <w:style w:type="paragraph" w:styleId="Ttulo7">
    <w:name w:val="heading 7"/>
    <w:basedOn w:val="Normal"/>
    <w:next w:val="Normal"/>
    <w:link w:val="Ttulo7Char"/>
    <w:qFormat/>
    <w:pPr>
      <w:numPr>
        <w:ilvl w:val="6"/>
        <w:numId w:val="1"/>
      </w:numPr>
      <w:spacing w:before="240" w:after="60"/>
      <w:outlineLvl w:val="6"/>
    </w:pPr>
    <w:rPr>
      <w:rFonts w:cs="Arial"/>
      <w:szCs w:val="20"/>
      <w:lang w:eastAsia="zh-CN"/>
    </w:rPr>
  </w:style>
  <w:style w:type="paragraph" w:styleId="Ttulo8">
    <w:name w:val="heading 8"/>
    <w:basedOn w:val="Normal"/>
    <w:next w:val="Normal"/>
    <w:link w:val="Ttulo8Char"/>
    <w:qFormat/>
    <w:pPr>
      <w:numPr>
        <w:ilvl w:val="7"/>
        <w:numId w:val="1"/>
      </w:numPr>
      <w:spacing w:before="240" w:after="60"/>
      <w:outlineLvl w:val="7"/>
    </w:pPr>
    <w:rPr>
      <w:rFonts w:cs="Arial"/>
      <w:i/>
      <w:szCs w:val="20"/>
      <w:lang w:eastAsia="zh-CN"/>
    </w:rPr>
  </w:style>
  <w:style w:type="paragraph" w:styleId="Ttulo9">
    <w:name w:val="heading 9"/>
    <w:basedOn w:val="Normal"/>
    <w:next w:val="Normal"/>
    <w:link w:val="Ttulo9Char"/>
    <w:qFormat/>
    <w:pPr>
      <w:numPr>
        <w:ilvl w:val="8"/>
        <w:numId w:val="1"/>
      </w:numPr>
      <w:spacing w:before="240" w:after="60"/>
      <w:outlineLvl w:val="8"/>
    </w:pPr>
    <w:rPr>
      <w:rFonts w:cs="Arial"/>
      <w:i/>
      <w:sz w:val="18"/>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Pr>
      <w:b/>
      <w:bCs/>
    </w:rPr>
  </w:style>
  <w:style w:type="character" w:styleId="Refdecomentrio">
    <w:name w:val="annotation reference"/>
    <w:basedOn w:val="Fontepargpadro"/>
    <w:uiPriority w:val="99"/>
    <w:unhideWhenUsed/>
    <w:qFormat/>
    <w:rPr>
      <w:sz w:val="16"/>
      <w:szCs w:val="16"/>
    </w:rPr>
  </w:style>
  <w:style w:type="character" w:styleId="HiperlinkVisitado">
    <w:name w:val="FollowedHyperlink"/>
    <w:uiPriority w:val="99"/>
    <w:rPr>
      <w:color w:val="800080"/>
      <w:u w:val="single"/>
    </w:rPr>
  </w:style>
  <w:style w:type="character" w:styleId="nfase">
    <w:name w:val="Emphasis"/>
    <w:basedOn w:val="Fontepargpadro"/>
    <w:uiPriority w:val="20"/>
    <w:qFormat/>
    <w:rPr>
      <w:i/>
      <w:iCs/>
    </w:rPr>
  </w:style>
  <w:style w:type="character" w:styleId="Refdenotaderodap">
    <w:name w:val="footnote reference"/>
    <w:basedOn w:val="Fontepargpadro"/>
    <w:semiHidden/>
    <w:unhideWhenUsed/>
    <w:rPr>
      <w:vertAlign w:val="superscript"/>
    </w:rPr>
  </w:style>
  <w:style w:type="character" w:styleId="Hyperlink">
    <w:name w:val="Hyperlink"/>
    <w:basedOn w:val="Fontepargpadro"/>
    <w:unhideWhenUsed/>
    <w:rPr>
      <w:color w:val="0000FF" w:themeColor="hyperlink"/>
      <w:u w:val="single"/>
    </w:rPr>
  </w:style>
  <w:style w:type="character" w:styleId="Nmerodepgina">
    <w:name w:val="page number"/>
  </w:style>
  <w:style w:type="paragraph" w:styleId="Lista">
    <w:name w:val="List"/>
    <w:basedOn w:val="Corpodotexto"/>
    <w:rPr>
      <w:rFonts w:cs="Mangal"/>
    </w:rPr>
  </w:style>
  <w:style w:type="paragraph" w:customStyle="1" w:styleId="Corpodotexto">
    <w:name w:val="Corpo do texto"/>
    <w:basedOn w:val="Normal"/>
    <w:pPr>
      <w:spacing w:after="140" w:line="288" w:lineRule="auto"/>
    </w:pPr>
  </w:style>
  <w:style w:type="paragraph" w:styleId="Corpodetexto">
    <w:name w:val="Body Text"/>
    <w:basedOn w:val="Normal"/>
    <w:link w:val="CorpodetextoChar"/>
    <w:uiPriority w:val="99"/>
    <w:pPr>
      <w:suppressAutoHyphens w:val="0"/>
      <w:spacing w:after="120"/>
    </w:pPr>
    <w:rPr>
      <w:rFonts w:ascii="Times New Roman" w:hAnsi="Times New Roman" w:cs="Times New Roman"/>
      <w:sz w:val="24"/>
    </w:rPr>
  </w:style>
  <w:style w:type="paragraph" w:styleId="Textoembloco">
    <w:name w:val="Block Text"/>
    <w:basedOn w:val="Normal"/>
    <w:pPr>
      <w:suppressAutoHyphens w:val="0"/>
      <w:ind w:left="567" w:right="284" w:hanging="567"/>
      <w:jc w:val="both"/>
    </w:pPr>
    <w:rPr>
      <w:rFonts w:ascii="Times New Roman" w:hAnsi="Times New Roman" w:cs="Times New Roman"/>
      <w:b/>
      <w:sz w:val="24"/>
      <w:szCs w:val="20"/>
    </w:rPr>
  </w:style>
  <w:style w:type="paragraph" w:styleId="Textodecomentrio">
    <w:name w:val="annotation text"/>
    <w:basedOn w:val="Normal"/>
    <w:link w:val="TextodecomentrioChar"/>
    <w:uiPriority w:val="99"/>
    <w:unhideWhenUsed/>
    <w:qFormat/>
    <w:rPr>
      <w:szCs w:val="20"/>
    </w:rPr>
  </w:style>
  <w:style w:type="paragraph" w:styleId="Recuodecorpodetexto2">
    <w:name w:val="Body Text Indent 2"/>
    <w:basedOn w:val="Normal"/>
    <w:link w:val="Recuodecorpodetexto2Char"/>
    <w:qFormat/>
    <w:pPr>
      <w:spacing w:after="120" w:line="480" w:lineRule="auto"/>
      <w:ind w:left="283"/>
    </w:pPr>
    <w:rPr>
      <w:rFonts w:ascii="Times New Roman" w:hAnsi="Times New Roman" w:cs="Times New Roman"/>
      <w:sz w:val="24"/>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styleId="Commarcadores5">
    <w:name w:val="List Bullet 5"/>
    <w:basedOn w:val="Normal"/>
    <w:pPr>
      <w:numPr>
        <w:numId w:val="2"/>
      </w:numPr>
      <w:contextualSpacing/>
    </w:pPr>
  </w:style>
  <w:style w:type="paragraph" w:styleId="NormalWeb">
    <w:name w:val="Normal (Web)"/>
    <w:basedOn w:val="Normal"/>
    <w:uiPriority w:val="99"/>
    <w:pPr>
      <w:spacing w:after="280"/>
    </w:pPr>
    <w:rPr>
      <w:rFonts w:ascii="Times New Roman" w:hAnsi="Times New Roman" w:cs="Times New Roman"/>
    </w:rPr>
  </w:style>
  <w:style w:type="paragraph" w:styleId="Pr-formataoHTML">
    <w:name w:val="HTML Preformatted"/>
    <w:basedOn w:val="Normal"/>
    <w:link w:val="Pr-formatao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Cs w:val="20"/>
    </w:rPr>
  </w:style>
  <w:style w:type="paragraph" w:styleId="Corpodetexto2">
    <w:name w:val="Body Text 2"/>
    <w:basedOn w:val="Normal"/>
    <w:link w:val="Corpodetexto2Char"/>
    <w:pPr>
      <w:suppressAutoHyphens w:val="0"/>
      <w:spacing w:after="120" w:line="480" w:lineRule="auto"/>
    </w:pPr>
    <w:rPr>
      <w:rFonts w:ascii="Times New Roman" w:hAnsi="Times New Roman" w:cs="Times New Roman"/>
      <w:szCs w:val="20"/>
    </w:rPr>
  </w:style>
  <w:style w:type="paragraph" w:styleId="Cabealho">
    <w:name w:val="header"/>
    <w:basedOn w:val="Normal"/>
    <w:link w:val="CabealhoChar"/>
    <w:uiPriority w:val="99"/>
    <w:unhideWhenUsed/>
    <w:qFormat/>
    <w:pPr>
      <w:tabs>
        <w:tab w:val="center" w:pos="4252"/>
        <w:tab w:val="right" w:pos="8504"/>
      </w:tabs>
    </w:pPr>
  </w:style>
  <w:style w:type="paragraph" w:styleId="Assuntodocomentrio">
    <w:name w:val="annotation subject"/>
    <w:basedOn w:val="Textodecomentrio"/>
    <w:next w:val="Textodecomentrio"/>
    <w:link w:val="AssuntodocomentrioChar"/>
    <w:uiPriority w:val="99"/>
    <w:semiHidden/>
    <w:unhideWhenUsed/>
    <w:qFormat/>
    <w:rPr>
      <w:b/>
      <w:bCs/>
    </w:rPr>
  </w:style>
  <w:style w:type="paragraph" w:styleId="Rodap">
    <w:name w:val="footer"/>
    <w:basedOn w:val="Normal"/>
    <w:link w:val="RodapChar"/>
    <w:uiPriority w:val="99"/>
    <w:unhideWhenUsed/>
    <w:qFormat/>
    <w:pPr>
      <w:tabs>
        <w:tab w:val="center" w:pos="4252"/>
        <w:tab w:val="right" w:pos="8504"/>
      </w:tabs>
    </w:pPr>
  </w:style>
  <w:style w:type="paragraph" w:styleId="Legenda">
    <w:name w:val="caption"/>
    <w:basedOn w:val="Normal"/>
    <w:next w:val="Normal"/>
    <w:qFormat/>
    <w:pPr>
      <w:suppressLineNumbers/>
      <w:spacing w:before="120" w:after="120"/>
    </w:pPr>
    <w:rPr>
      <w:rFonts w:cs="Mangal"/>
      <w:i/>
      <w:iCs/>
      <w:sz w:val="24"/>
    </w:rPr>
  </w:style>
  <w:style w:type="paragraph" w:styleId="Recuodecorpodetexto3">
    <w:name w:val="Body Text Indent 3"/>
    <w:basedOn w:val="Normal"/>
    <w:link w:val="Recuodecorpodetexto3Char"/>
    <w:unhideWhenUsed/>
    <w:pPr>
      <w:suppressAutoHyphens w:val="0"/>
      <w:spacing w:after="120"/>
      <w:ind w:left="283"/>
    </w:pPr>
    <w:rPr>
      <w:sz w:val="16"/>
      <w:szCs w:val="16"/>
    </w:rPr>
  </w:style>
  <w:style w:type="paragraph" w:styleId="Textodebalo">
    <w:name w:val="Balloon Text"/>
    <w:basedOn w:val="Normal"/>
    <w:link w:val="TextodebaloChar"/>
    <w:uiPriority w:val="99"/>
    <w:qFormat/>
    <w:rPr>
      <w:rFonts w:ascii="Tahoma" w:hAnsi="Tahoma" w:cs="Times New Roman"/>
      <w:sz w:val="16"/>
      <w:szCs w:val="16"/>
    </w:rPr>
  </w:style>
  <w:style w:type="paragraph" w:styleId="Subttulo">
    <w:name w:val="Subtitle"/>
    <w:basedOn w:val="Ttulo20"/>
    <w:next w:val="Corpodetexto"/>
    <w:link w:val="SubttuloChar"/>
    <w:qFormat/>
    <w:pPr>
      <w:spacing w:before="60"/>
      <w:jc w:val="center"/>
    </w:pPr>
    <w:rPr>
      <w:sz w:val="36"/>
      <w:szCs w:val="36"/>
    </w:rPr>
  </w:style>
  <w:style w:type="paragraph" w:customStyle="1" w:styleId="Ttulo20">
    <w:name w:val="Título2"/>
    <w:basedOn w:val="Normal"/>
    <w:next w:val="Corpodetexto"/>
    <w:pPr>
      <w:keepNext/>
      <w:spacing w:before="240" w:after="120"/>
    </w:pPr>
    <w:rPr>
      <w:rFonts w:ascii="Liberation Sans" w:eastAsia="Microsoft YaHei" w:hAnsi="Liberation Sans" w:cs="Mangal"/>
      <w:sz w:val="28"/>
      <w:szCs w:val="28"/>
      <w:lang w:eastAsia="zh-CN"/>
    </w:rPr>
  </w:style>
  <w:style w:type="paragraph" w:styleId="Textodenotaderodap">
    <w:name w:val="footnote text"/>
    <w:basedOn w:val="Normal"/>
    <w:link w:val="TextodenotaderodapChar"/>
    <w:semiHidden/>
    <w:unhideWhenUsed/>
    <w:rPr>
      <w:szCs w:val="20"/>
    </w:rPr>
  </w:style>
  <w:style w:type="paragraph" w:styleId="Recuodecorpodetexto">
    <w:name w:val="Body Text Indent"/>
    <w:basedOn w:val="Normal"/>
    <w:link w:val="RecuodecorpodetextoChar"/>
    <w:pPr>
      <w:spacing w:line="360" w:lineRule="auto"/>
      <w:ind w:left="360"/>
      <w:jc w:val="both"/>
    </w:pPr>
    <w:rPr>
      <w:rFonts w:ascii="Times New Roman" w:hAnsi="Times New Roman" w:cs="Times New Roman"/>
      <w:sz w:val="24"/>
      <w:szCs w:val="20"/>
      <w:lang w:eastAsia="zh-CN"/>
    </w:rPr>
  </w:style>
  <w:style w:type="table" w:styleId="Tabelacomgrade">
    <w:name w:val="Table Grid"/>
    <w:basedOn w:val="Tabelanormal"/>
    <w:uiPriority w:val="39"/>
    <w:unhideWhenUs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qFormat/>
    <w:rPr>
      <w:rFonts w:ascii="Cambria" w:eastAsia="MS Gothic" w:hAnsi="Cambria" w:cs="Times New Roman"/>
      <w:color w:val="365F91"/>
      <w:sz w:val="32"/>
      <w:szCs w:val="32"/>
    </w:rPr>
  </w:style>
  <w:style w:type="character" w:customStyle="1" w:styleId="Ttulo2Char">
    <w:name w:val="Título 2 Char"/>
    <w:link w:val="Ttulo2"/>
    <w:qFormat/>
    <w:rPr>
      <w:b/>
      <w:color w:val="000000"/>
      <w:sz w:val="24"/>
    </w:rPr>
  </w:style>
  <w:style w:type="character" w:customStyle="1" w:styleId="Ttulo3Char">
    <w:name w:val="Título 3 Char"/>
    <w:basedOn w:val="Fontepargpadro"/>
    <w:link w:val="Ttulo3"/>
    <w:uiPriority w:val="9"/>
    <w:qFormat/>
    <w:rPr>
      <w:b/>
      <w:sz w:val="24"/>
      <w:lang w:eastAsia="zh-CN"/>
    </w:rPr>
  </w:style>
  <w:style w:type="character" w:customStyle="1" w:styleId="Ttulo4Char">
    <w:name w:val="Título 4 Char"/>
    <w:basedOn w:val="Fontepargpadro"/>
    <w:link w:val="Ttulo4"/>
    <w:qFormat/>
    <w:rPr>
      <w:b/>
      <w:i/>
      <w:sz w:val="24"/>
      <w:lang w:eastAsia="zh-CN"/>
    </w:rPr>
  </w:style>
  <w:style w:type="character" w:customStyle="1" w:styleId="Ttulo5Char">
    <w:name w:val="Título 5 Char"/>
    <w:basedOn w:val="Fontepargpadro"/>
    <w:link w:val="Ttulo5"/>
    <w:qFormat/>
    <w:rPr>
      <w:rFonts w:ascii="Arial" w:hAnsi="Arial" w:cs="Arial"/>
      <w:sz w:val="22"/>
      <w:lang w:eastAsia="zh-CN"/>
    </w:rPr>
  </w:style>
  <w:style w:type="character" w:customStyle="1" w:styleId="Ttulo6Char">
    <w:name w:val="Título 6 Char"/>
    <w:basedOn w:val="Fontepargpadro"/>
    <w:link w:val="Ttulo6"/>
    <w:uiPriority w:val="9"/>
    <w:qFormat/>
    <w:rPr>
      <w:rFonts w:ascii="Arial" w:hAnsi="Arial" w:cs="Arial"/>
      <w:i/>
      <w:sz w:val="22"/>
      <w:lang w:eastAsia="zh-CN"/>
    </w:rPr>
  </w:style>
  <w:style w:type="character" w:customStyle="1" w:styleId="Ttulo7Char">
    <w:name w:val="Título 7 Char"/>
    <w:basedOn w:val="Fontepargpadro"/>
    <w:link w:val="Ttulo7"/>
    <w:qFormat/>
    <w:rPr>
      <w:rFonts w:ascii="Arial" w:hAnsi="Arial" w:cs="Arial"/>
      <w:lang w:eastAsia="zh-CN"/>
    </w:rPr>
  </w:style>
  <w:style w:type="character" w:customStyle="1" w:styleId="Ttulo8Char">
    <w:name w:val="Título 8 Char"/>
    <w:basedOn w:val="Fontepargpadro"/>
    <w:link w:val="Ttulo8"/>
    <w:qFormat/>
    <w:rPr>
      <w:rFonts w:ascii="Arial" w:hAnsi="Arial" w:cs="Arial"/>
      <w:i/>
      <w:lang w:eastAsia="zh-CN"/>
    </w:rPr>
  </w:style>
  <w:style w:type="character" w:customStyle="1" w:styleId="Ttulo9Char">
    <w:name w:val="Título 9 Char"/>
    <w:basedOn w:val="Fontepargpadro"/>
    <w:link w:val="Ttulo9"/>
    <w:qFormat/>
    <w:rPr>
      <w:rFonts w:ascii="Arial" w:hAnsi="Arial" w:cs="Arial"/>
      <w:i/>
      <w:sz w:val="18"/>
      <w:lang w:eastAsia="zh-CN"/>
    </w:rPr>
  </w:style>
  <w:style w:type="character" w:customStyle="1" w:styleId="TextodebaloChar">
    <w:name w:val="Texto de balão Char"/>
    <w:link w:val="Textodebalo"/>
    <w:uiPriority w:val="99"/>
    <w:qFormat/>
    <w:rPr>
      <w:rFonts w:ascii="Tahoma" w:hAnsi="Tahoma" w:cs="Tahoma"/>
      <w:sz w:val="16"/>
      <w:szCs w:val="16"/>
    </w:rPr>
  </w:style>
  <w:style w:type="character" w:customStyle="1" w:styleId="normalchar1">
    <w:name w:val="normal__char1"/>
    <w:qFormat/>
    <w:rPr>
      <w:rFonts w:ascii="Arial" w:hAnsi="Arial" w:cs="Arial"/>
      <w:sz w:val="24"/>
      <w:szCs w:val="24"/>
      <w:u w:val="none"/>
    </w:rPr>
  </w:style>
  <w:style w:type="character" w:customStyle="1" w:styleId="apple-style-span">
    <w:name w:val="apple-style-span"/>
    <w:basedOn w:val="Fontepargpadro"/>
    <w:qFormat/>
  </w:style>
  <w:style w:type="character" w:customStyle="1" w:styleId="LinkdaInternet">
    <w:name w:val="Link da Internet"/>
    <w:uiPriority w:val="99"/>
    <w:qFormat/>
    <w:rPr>
      <w:color w:val="000080"/>
      <w:u w:val="single"/>
    </w:rPr>
  </w:style>
  <w:style w:type="character" w:customStyle="1" w:styleId="CitaoChar">
    <w:name w:val="Citação Char"/>
    <w:link w:val="Citao"/>
    <w:qFormat/>
    <w:rPr>
      <w:rFonts w:ascii="Ecofont_Spranq_eco_Sans" w:eastAsia="Calibri" w:hAnsi="Ecofont_Spranq_eco_Sans" w:cs="Tahoma"/>
      <w:i/>
      <w:iCs/>
      <w:color w:val="000000"/>
      <w:szCs w:val="24"/>
      <w:shd w:val="clear" w:color="auto" w:fill="FFFFCC"/>
      <w:lang w:eastAsia="en-US"/>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imes New Roman"/>
      <w:i/>
      <w:iCs/>
      <w:color w:val="000000"/>
      <w:lang w:eastAsia="en-US"/>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TextodecomentrioChar">
    <w:name w:val="Texto de comentário Char"/>
    <w:basedOn w:val="Fontepargpadro"/>
    <w:link w:val="Textodecomentrio"/>
    <w:uiPriority w:val="99"/>
    <w:qFormat/>
    <w:rPr>
      <w:rFonts w:ascii="Ecofont_Spranq_eco_Sans" w:hAnsi="Ecofont_Spranq_eco_Sans" w:cs="Tahoma"/>
    </w:rPr>
  </w:style>
  <w:style w:type="character" w:customStyle="1" w:styleId="AssuntodocomentrioChar">
    <w:name w:val="Assunto do comentário Char"/>
    <w:basedOn w:val="TextodecomentrioChar"/>
    <w:link w:val="Assuntodocomentrio"/>
    <w:uiPriority w:val="99"/>
    <w:semiHidden/>
    <w:qFormat/>
    <w:rPr>
      <w:rFonts w:ascii="Ecofont_Spranq_eco_Sans" w:hAnsi="Ecofont_Spranq_eco_Sans" w:cs="Tahoma"/>
      <w:b/>
      <w:bCs/>
    </w:rPr>
  </w:style>
  <w:style w:type="character" w:styleId="TextodoEspaoReservado">
    <w:name w:val="Placeholder Text"/>
    <w:basedOn w:val="Fontepargpadro"/>
    <w:uiPriority w:val="67"/>
    <w:semiHidden/>
    <w:qFormat/>
    <w:rPr>
      <w:color w:val="808080"/>
    </w:rPr>
  </w:style>
  <w:style w:type="character" w:customStyle="1" w:styleId="CabealhoChar">
    <w:name w:val="Cabeçalho Char"/>
    <w:basedOn w:val="Fontepargpadro"/>
    <w:link w:val="Cabealho"/>
    <w:uiPriority w:val="99"/>
    <w:qFormat/>
    <w:rPr>
      <w:rFonts w:ascii="Ecofont_Spranq_eco_Sans" w:hAnsi="Ecofont_Spranq_eco_Sans" w:cs="Tahoma"/>
      <w:sz w:val="24"/>
      <w:szCs w:val="24"/>
    </w:rPr>
  </w:style>
  <w:style w:type="character" w:customStyle="1" w:styleId="RodapChar">
    <w:name w:val="Rodapé Char"/>
    <w:basedOn w:val="Fontepargpadro"/>
    <w:link w:val="Rodap"/>
    <w:uiPriority w:val="99"/>
    <w:qFormat/>
    <w:rPr>
      <w:rFonts w:ascii="Ecofont_Spranq_eco_Sans" w:hAnsi="Ecofont_Spranq_eco_Sans" w:cs="Tahoma"/>
      <w:sz w:val="24"/>
      <w:szCs w:val="24"/>
    </w:rPr>
  </w:style>
  <w:style w:type="character" w:customStyle="1" w:styleId="Nivel1Char">
    <w:name w:val="Nivel1 Char"/>
    <w:basedOn w:val="Ttulo1Char"/>
    <w:link w:val="Nivel10"/>
    <w:qFormat/>
    <w:rPr>
      <w:rFonts w:ascii="Arial" w:eastAsia="MS Gothic" w:hAnsi="Arial" w:cs="Times New Roman"/>
      <w:b/>
      <w:color w:val="000000"/>
      <w:sz w:val="32"/>
      <w:szCs w:val="32"/>
    </w:rPr>
  </w:style>
  <w:style w:type="paragraph" w:customStyle="1" w:styleId="Nivel10">
    <w:name w:val="Nivel1"/>
    <w:basedOn w:val="Ttulo1"/>
    <w:link w:val="Nivel1Char"/>
    <w:qFormat/>
    <w:pPr>
      <w:numPr>
        <w:numId w:val="3"/>
      </w:numPr>
      <w:spacing w:before="480" w:line="276" w:lineRule="auto"/>
      <w:jc w:val="both"/>
    </w:pPr>
    <w:rPr>
      <w:rFonts w:ascii="Arial" w:hAnsi="Arial"/>
      <w:b/>
      <w:color w:val="000000"/>
      <w:sz w:val="20"/>
      <w:szCs w:val="20"/>
    </w:rPr>
  </w:style>
  <w:style w:type="character" w:customStyle="1" w:styleId="Recuodecorpodetexto2Char">
    <w:name w:val="Recuo de corpo de texto 2 Char"/>
    <w:basedOn w:val="Fontepargpadro"/>
    <w:link w:val="Recuodecorpodetexto2"/>
    <w:qFormat/>
    <w:rPr>
      <w:sz w:val="24"/>
      <w:szCs w:val="24"/>
    </w:rPr>
  </w:style>
  <w:style w:type="character" w:customStyle="1" w:styleId="ListLabel1">
    <w:name w:val="ListLabel 1"/>
    <w:qFormat/>
  </w:style>
  <w:style w:type="character" w:customStyle="1" w:styleId="ListLabel2">
    <w:name w:val="ListLabel 2"/>
    <w:qFormat/>
    <w:rPr>
      <w:rFonts w:eastAsia="Arial Unicode MS"/>
    </w:rPr>
  </w:style>
  <w:style w:type="character" w:customStyle="1" w:styleId="ListLabel3">
    <w:name w:val="ListLabel 3"/>
    <w:qFormat/>
    <w:rPr>
      <w:rFonts w:cs="Arial"/>
      <w:i/>
      <w:color w:val="FF0000"/>
    </w:rPr>
  </w:style>
  <w:style w:type="character" w:customStyle="1" w:styleId="ListLabel4">
    <w:name w:val="ListLabel 4"/>
    <w:qFormat/>
    <w:rPr>
      <w:color w:val="0000FF"/>
    </w:rPr>
  </w:style>
  <w:style w:type="character" w:customStyle="1" w:styleId="ListLabel5">
    <w:name w:val="ListLabel 5"/>
    <w:qFormat/>
  </w:style>
  <w:style w:type="character" w:customStyle="1" w:styleId="ListLabel6">
    <w:name w:val="ListLabel 6"/>
    <w:qFormat/>
    <w:rPr>
      <w:b/>
    </w:rPr>
  </w:style>
  <w:style w:type="character" w:customStyle="1" w:styleId="ListLabel7">
    <w:name w:val="ListLabel 7"/>
    <w:qFormat/>
    <w:rPr>
      <w:b/>
      <w:color w:val="00000A"/>
    </w:rPr>
  </w:style>
  <w:style w:type="character" w:customStyle="1" w:styleId="ListLabel8">
    <w:name w:val="ListLabel 8"/>
    <w:qFormat/>
    <w:rPr>
      <w:color w:val="00000A"/>
    </w:rPr>
  </w:style>
  <w:style w:type="character" w:customStyle="1" w:styleId="ListLabel9">
    <w:name w:val="ListLabel 9"/>
    <w:qFormat/>
    <w:rPr>
      <w:i/>
    </w:rPr>
  </w:style>
  <w:style w:type="character" w:customStyle="1" w:styleId="ListLabel10">
    <w:name w:val="ListLabel 10"/>
    <w:rPr>
      <w:b/>
    </w:rPr>
  </w:style>
  <w:style w:type="character" w:customStyle="1" w:styleId="ListLabel11">
    <w:name w:val="ListLabel 11"/>
    <w:qFormat/>
    <w:rPr>
      <w:sz w:val="18"/>
      <w:szCs w:val="18"/>
    </w:rPr>
  </w:style>
  <w:style w:type="paragraph" w:customStyle="1" w:styleId="ndice">
    <w:name w:val="Índice"/>
    <w:basedOn w:val="Normal"/>
    <w:pPr>
      <w:suppressLineNumbers/>
    </w:pPr>
    <w:rPr>
      <w:rFonts w:cs="Mangal"/>
    </w:rPr>
  </w:style>
  <w:style w:type="paragraph" w:styleId="PargrafodaLista">
    <w:name w:val="List Paragraph"/>
    <w:basedOn w:val="Normal"/>
    <w:link w:val="PargrafodaListaChar"/>
    <w:uiPriority w:val="34"/>
    <w:qFormat/>
    <w:pPr>
      <w:ind w:left="720"/>
      <w:contextualSpacing/>
    </w:pPr>
  </w:style>
  <w:style w:type="character" w:customStyle="1" w:styleId="PargrafodaListaChar">
    <w:name w:val="Parágrafo da Lista Char"/>
    <w:link w:val="PargrafodaLista"/>
    <w:uiPriority w:val="34"/>
    <w:locked/>
    <w:rPr>
      <w:rFonts w:ascii="Arial" w:hAnsi="Arial" w:cs="Tahoma"/>
      <w:szCs w:val="24"/>
    </w:rPr>
  </w:style>
  <w:style w:type="paragraph" w:customStyle="1" w:styleId="Nvel2">
    <w:name w:val="Nível 2"/>
    <w:basedOn w:val="Normal"/>
    <w:next w:val="Normal"/>
    <w:pPr>
      <w:spacing w:after="120"/>
      <w:jc w:val="both"/>
    </w:pPr>
    <w:rPr>
      <w:rFonts w:cs="Times New Roman"/>
      <w:b/>
      <w:szCs w:val="20"/>
    </w:rPr>
  </w:style>
  <w:style w:type="paragraph" w:customStyle="1" w:styleId="citao2">
    <w:name w:val="citação 2"/>
    <w:basedOn w:val="Citao"/>
    <w:qFormat/>
    <w:rPr>
      <w:szCs w:val="20"/>
    </w:rPr>
  </w:style>
  <w:style w:type="paragraph" w:customStyle="1" w:styleId="Reviso1">
    <w:name w:val="Revisão1"/>
    <w:uiPriority w:val="99"/>
    <w:semiHidden/>
    <w:pPr>
      <w:suppressAutoHyphens/>
    </w:pPr>
    <w:rPr>
      <w:rFonts w:ascii="Arial" w:hAnsi="Arial" w:cs="Tahoma"/>
      <w:szCs w:val="24"/>
    </w:rPr>
  </w:style>
  <w:style w:type="paragraph" w:customStyle="1" w:styleId="PargrafodaLista1">
    <w:name w:val="Parágrafo da Lista1"/>
    <w:basedOn w:val="Normal"/>
    <w:qFormat/>
    <w:pPr>
      <w:suppressAutoHyphens w:val="0"/>
      <w:ind w:left="720"/>
    </w:pPr>
    <w:rPr>
      <w:rFonts w:ascii="Ecofont_Spranq_eco_Sans" w:hAnsi="Ecofont_Spranq_eco_Sans" w:cs="Ecofont_Spranq_eco_Sans"/>
      <w:sz w:val="24"/>
    </w:rPr>
  </w:style>
  <w:style w:type="paragraph" w:customStyle="1" w:styleId="WW-Padro">
    <w:name w:val="WW-Padrão"/>
    <w:pPr>
      <w:suppressAutoHyphens/>
    </w:pPr>
    <w:rPr>
      <w:sz w:val="24"/>
      <w:lang w:eastAsia="ar-SA"/>
    </w:rPr>
  </w:style>
  <w:style w:type="character" w:customStyle="1" w:styleId="CorpodetextoChar">
    <w:name w:val="Corpo de texto Char"/>
    <w:basedOn w:val="Fontepargpadro"/>
    <w:link w:val="Corpodetexto"/>
    <w:uiPriority w:val="99"/>
    <w:rPr>
      <w:sz w:val="24"/>
      <w:szCs w:val="24"/>
    </w:rPr>
  </w:style>
  <w:style w:type="paragraph" w:customStyle="1" w:styleId="western">
    <w:name w:val="western"/>
    <w:basedOn w:val="Normal"/>
    <w:pPr>
      <w:suppressAutoHyphens w:val="0"/>
      <w:spacing w:before="100" w:beforeAutospacing="1" w:after="119"/>
    </w:pPr>
    <w:rPr>
      <w:rFonts w:ascii="Times New Roman" w:hAnsi="Times New Roman" w:cs="Times New Roman"/>
      <w:sz w:val="24"/>
    </w:rPr>
  </w:style>
  <w:style w:type="paragraph" w:customStyle="1" w:styleId="Corpodetexto21">
    <w:name w:val="Corpo de texto 21"/>
    <w:basedOn w:val="Normal"/>
    <w:pPr>
      <w:ind w:right="-148"/>
      <w:jc w:val="both"/>
    </w:pPr>
    <w:rPr>
      <w:rFonts w:cs="Times New Roman"/>
      <w:sz w:val="24"/>
      <w:szCs w:val="20"/>
      <w:lang w:eastAsia="ar-SA"/>
    </w:rPr>
  </w:style>
  <w:style w:type="paragraph" w:customStyle="1" w:styleId="Ttulo1doRosinaldo">
    <w:name w:val="Título 1 do Rosinaldo"/>
    <w:basedOn w:val="Normal"/>
    <w:pPr>
      <w:tabs>
        <w:tab w:val="left" w:pos="360"/>
      </w:tabs>
      <w:suppressAutoHyphens w:val="0"/>
      <w:ind w:left="360" w:hanging="360"/>
      <w:jc w:val="both"/>
    </w:pPr>
    <w:rPr>
      <w:rFonts w:cs="Times New Roman"/>
      <w:sz w:val="24"/>
      <w:szCs w:val="20"/>
    </w:rPr>
  </w:style>
  <w:style w:type="character" w:customStyle="1" w:styleId="MenoPendente1">
    <w:name w:val="Menção Pendente1"/>
    <w:basedOn w:val="Fontepargpadro"/>
    <w:uiPriority w:val="99"/>
    <w:semiHidden/>
    <w:unhideWhenUsed/>
    <w:rPr>
      <w:color w:val="605E5C"/>
      <w:shd w:val="clear" w:color="auto" w:fill="E1DFDD"/>
    </w:rPr>
  </w:style>
  <w:style w:type="paragraph" w:customStyle="1" w:styleId="Nivel01">
    <w:name w:val="Nivel_01"/>
    <w:basedOn w:val="Ttulo1"/>
    <w:qFormat/>
    <w:pPr>
      <w:numPr>
        <w:numId w:val="4"/>
      </w:numPr>
      <w:tabs>
        <w:tab w:val="left" w:pos="360"/>
        <w:tab w:val="left" w:pos="567"/>
      </w:tabs>
      <w:suppressAutoHyphens w:val="0"/>
      <w:jc w:val="both"/>
    </w:pPr>
    <w:rPr>
      <w:rFonts w:ascii="Ecofont_Spranq_eco_Sans" w:eastAsiaTheme="majorEastAsia" w:hAnsi="Ecofont_Spranq_eco_Sans"/>
      <w:b/>
      <w:bCs/>
      <w:color w:val="auto"/>
      <w:sz w:val="20"/>
      <w:szCs w:val="20"/>
    </w:rPr>
  </w:style>
  <w:style w:type="character" w:customStyle="1" w:styleId="GradeColorida-nfase1Char">
    <w:name w:val="Grade Colorida - Ênfase 1 Char"/>
    <w:link w:val="GradeColorida-nfase11"/>
    <w:uiPriority w:val="29"/>
    <w:rPr>
      <w:rFonts w:ascii="Ecofont_Spranq_eco_Sans" w:eastAsia="Calibri" w:hAnsi="Ecofont_Spranq_eco_Sans" w:cs="Ecofont_Spranq_eco_Sans"/>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Ecofont_Spranq_eco_Sans"/>
      <w:i/>
      <w:iCs/>
      <w:color w:val="000000"/>
    </w:rPr>
  </w:style>
  <w:style w:type="paragraph" w:customStyle="1" w:styleId="Nivel01Titulo">
    <w:name w:val="Nivel_01_Titulo"/>
    <w:basedOn w:val="Ttulo1"/>
    <w:next w:val="Normal"/>
    <w:link w:val="Nivel01TituloChar"/>
    <w:qFormat/>
    <w:pPr>
      <w:tabs>
        <w:tab w:val="left" w:pos="360"/>
        <w:tab w:val="left" w:pos="567"/>
      </w:tabs>
      <w:suppressAutoHyphens w:val="0"/>
      <w:jc w:val="both"/>
    </w:pPr>
    <w:rPr>
      <w:rFonts w:ascii="Arial" w:eastAsiaTheme="majorEastAsia" w:hAnsi="Arial"/>
      <w:b/>
      <w:bCs/>
      <w:color w:val="auto"/>
      <w:sz w:val="20"/>
      <w:szCs w:val="20"/>
    </w:rPr>
  </w:style>
  <w:style w:type="character" w:customStyle="1" w:styleId="Nivel01TituloChar">
    <w:name w:val="Nivel_01_Titulo Char"/>
    <w:basedOn w:val="Fontepargpadro"/>
    <w:link w:val="Nivel01Titulo"/>
    <w:qFormat/>
    <w:locked/>
    <w:rPr>
      <w:rFonts w:ascii="Arial" w:eastAsiaTheme="majorEastAsia" w:hAnsi="Arial"/>
      <w:b/>
      <w:bCs/>
    </w:rPr>
  </w:style>
  <w:style w:type="paragraph" w:customStyle="1" w:styleId="SombreamentoMdio1-nfase31">
    <w:name w:val="Sombreamento Médio 1 - Ênfase 31"/>
    <w:basedOn w:val="Normal"/>
    <w:next w:val="Normal"/>
    <w:link w:val="SombreamentoMdio1-nfase3Char"/>
    <w:qFormat/>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rPr>
      <w:rFonts w:ascii="Ecofont_Spranq_eco_Sans" w:hAnsi="Ecofont_Spranq_eco_Sans" w:cs="Ecofont_Spranq_eco_Sans"/>
      <w:i/>
      <w:iCs/>
      <w:color w:val="000000"/>
      <w:sz w:val="24"/>
      <w:szCs w:val="24"/>
      <w:shd w:val="clear" w:color="auto" w:fill="FFFFCC"/>
      <w:lang w:eastAsia="en-US"/>
    </w:rPr>
  </w:style>
  <w:style w:type="character" w:customStyle="1" w:styleId="Nivel2Char">
    <w:name w:val="Nivel 2 Char"/>
    <w:basedOn w:val="Fontepargpadro"/>
    <w:link w:val="Nivel2"/>
    <w:locked/>
    <w:rPr>
      <w:rFonts w:ascii="Ecofont_Spranq_eco_Sans" w:eastAsia="Arial Unicode MS" w:hAnsi="Ecofont_Spranq_eco_Sans"/>
    </w:rPr>
  </w:style>
  <w:style w:type="paragraph" w:customStyle="1" w:styleId="Nivel2">
    <w:name w:val="Nivel 2"/>
    <w:link w:val="Nivel2Char"/>
    <w:qFormat/>
    <w:pPr>
      <w:numPr>
        <w:ilvl w:val="1"/>
        <w:numId w:val="5"/>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pPr>
      <w:numPr>
        <w:ilvl w:val="0"/>
      </w:numPr>
      <w:tabs>
        <w:tab w:val="left" w:pos="360"/>
      </w:tabs>
      <w:ind w:left="720" w:hanging="432"/>
    </w:pPr>
    <w:rPr>
      <w:rFonts w:cs="Arial"/>
      <w:b/>
    </w:rPr>
  </w:style>
  <w:style w:type="paragraph" w:customStyle="1" w:styleId="Nivel3">
    <w:name w:val="Nivel 3"/>
    <w:basedOn w:val="Nivel2"/>
    <w:link w:val="Nivel3Char"/>
    <w:qFormat/>
    <w:pPr>
      <w:numPr>
        <w:ilvl w:val="2"/>
      </w:numPr>
      <w:tabs>
        <w:tab w:val="left" w:pos="360"/>
      </w:tabs>
      <w:ind w:left="2160" w:hanging="180"/>
    </w:pPr>
    <w:rPr>
      <w:rFonts w:cs="Arial"/>
      <w:color w:val="000000"/>
    </w:rPr>
  </w:style>
  <w:style w:type="paragraph" w:customStyle="1" w:styleId="Nivel4">
    <w:name w:val="Nivel 4"/>
    <w:basedOn w:val="Nivel3"/>
    <w:link w:val="Nivel4Char"/>
    <w:qFormat/>
    <w:pPr>
      <w:numPr>
        <w:ilvl w:val="3"/>
      </w:numPr>
      <w:ind w:left="2880" w:hanging="360"/>
    </w:pPr>
    <w:rPr>
      <w:color w:val="auto"/>
    </w:rPr>
  </w:style>
  <w:style w:type="paragraph" w:customStyle="1" w:styleId="Nivel5">
    <w:name w:val="Nivel 5"/>
    <w:basedOn w:val="Nivel4"/>
    <w:qFormat/>
    <w:pPr>
      <w:numPr>
        <w:ilvl w:val="4"/>
      </w:numPr>
      <w:ind w:left="3600" w:hanging="360"/>
    </w:pPr>
  </w:style>
  <w:style w:type="character" w:customStyle="1" w:styleId="MenoPendente2">
    <w:name w:val="Menção Pendente2"/>
    <w:basedOn w:val="Fontepargpadro"/>
    <w:uiPriority w:val="99"/>
    <w:semiHidden/>
    <w:unhideWhenUsed/>
    <w:rPr>
      <w:color w:val="605E5C"/>
      <w:shd w:val="clear" w:color="auto" w:fill="E1DFDD"/>
    </w:rPr>
  </w:style>
  <w:style w:type="character" w:customStyle="1" w:styleId="WW8Num1z0">
    <w:name w:val="WW8Num1z0"/>
    <w:rPr>
      <w:rFonts w:ascii="Symbol" w:hAnsi="Symbol" w:cs="Symbol"/>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3z0">
    <w:name w:val="WW8Num3z0"/>
    <w:rPr>
      <w:rFonts w:ascii="Symbol" w:hAnsi="Symbol" w:cs="StarSymbol"/>
      <w:color w:val="0000FF"/>
      <w:sz w:val="18"/>
      <w:szCs w:val="18"/>
    </w:rPr>
  </w:style>
  <w:style w:type="character" w:customStyle="1" w:styleId="WW8Num3z1">
    <w:name w:val="WW8Num3z1"/>
    <w:rPr>
      <w:rFonts w:ascii="OpenSymbol" w:hAnsi="OpenSymbol" w:cs="Courier New"/>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Arial Narrow"/>
      <w:b/>
      <w:sz w:val="18"/>
      <w:szCs w:val="18"/>
    </w:rPr>
  </w:style>
  <w:style w:type="character" w:customStyle="1" w:styleId="WW8Num4z1">
    <w:name w:val="WW8Num4z1"/>
    <w:rPr>
      <w:rFonts w:ascii="OpenSymbol" w:hAnsi="OpenSymbol" w:cs="OpenSymbol"/>
    </w:rPr>
  </w:style>
  <w:style w:type="character" w:customStyle="1" w:styleId="WW8Num5z0">
    <w:name w:val="WW8Num5z0"/>
    <w:rPr>
      <w:rFonts w:cs="Arial"/>
      <w:b/>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rPr>
      <w:b/>
      <w:sz w:val="20"/>
      <w:szCs w:val="20"/>
    </w:rPr>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sz w:val="18"/>
      <w:szCs w:val="18"/>
    </w:rPr>
  </w:style>
  <w:style w:type="character" w:customStyle="1" w:styleId="WW8Num7z0">
    <w:name w:val="WW8Num7z0"/>
    <w:rPr>
      <w:rFonts w:ascii="Symbol" w:hAnsi="Symbol" w:cs="Arial Narrow"/>
    </w:rPr>
  </w:style>
  <w:style w:type="character" w:customStyle="1" w:styleId="WW8Num8z0">
    <w:name w:val="WW8Num8z0"/>
    <w:rPr>
      <w:rFonts w:ascii="Symbol" w:hAnsi="Symbol" w:cs="Symbol"/>
    </w:rPr>
  </w:style>
  <w:style w:type="character" w:customStyle="1" w:styleId="WW8Num9z0">
    <w:name w:val="WW8Num9z0"/>
    <w:rPr>
      <w:rFonts w:ascii="Symbol" w:hAnsi="Symbol" w:cs="Symbol"/>
      <w:color w:val="auto"/>
      <w:sz w:val="18"/>
      <w:szCs w:val="18"/>
    </w:rPr>
  </w:style>
  <w:style w:type="character" w:customStyle="1" w:styleId="WW8Num10z0">
    <w:name w:val="WW8Num10z0"/>
    <w:rPr>
      <w:rFonts w:ascii="Symbol" w:hAnsi="Symbol" w:cs="Symbol"/>
      <w:color w:val="auto"/>
      <w:sz w:val="18"/>
      <w:szCs w:val="18"/>
    </w:rPr>
  </w:style>
  <w:style w:type="character" w:customStyle="1" w:styleId="WW8Num11z0">
    <w:name w:val="WW8Num11z0"/>
    <w:rPr>
      <w:rFonts w:ascii="Symbol" w:hAnsi="Symbol" w:cs="Arial"/>
      <w:b/>
      <w:sz w:val="20"/>
      <w:szCs w:val="20"/>
    </w:rPr>
  </w:style>
  <w:style w:type="character" w:customStyle="1" w:styleId="WW8Num12z0">
    <w:name w:val="WW8Num12z0"/>
    <w:rPr>
      <w:rFonts w:ascii="Symbol" w:hAnsi="Symbol" w:cs="Arial Narrow"/>
      <w:b/>
      <w:sz w:val="20"/>
      <w:szCs w:val="20"/>
    </w:rPr>
  </w:style>
  <w:style w:type="character" w:customStyle="1" w:styleId="WW8Num13z0">
    <w:name w:val="WW8Num13z0"/>
    <w:rPr>
      <w:rFonts w:cs="Arial Narrow"/>
    </w:rPr>
  </w:style>
  <w:style w:type="character" w:customStyle="1" w:styleId="WW8Num13z1">
    <w:name w:val="WW8Num13z1"/>
    <w:rPr>
      <w:b/>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cs="Arial Narrow"/>
      <w:sz w:val="20"/>
      <w:szCs w:val="20"/>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Narrow" w:hAnsi="Arial Narrow" w:cs="Arial Narrow"/>
      <w:b/>
      <w:sz w:val="18"/>
      <w:szCs w:val="18"/>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Symbol" w:hAnsi="Symbol" w:cs="Symbol"/>
      <w:color w:val="auto"/>
      <w:sz w:val="18"/>
      <w:szCs w:val="18"/>
    </w:rPr>
  </w:style>
  <w:style w:type="character" w:customStyle="1" w:styleId="WW8Num17z0">
    <w:name w:val="WW8Num17z0"/>
    <w:rPr>
      <w:rFonts w:ascii="Symbol" w:hAnsi="Symbol" w:cs="Arial"/>
      <w:sz w:val="20"/>
      <w:szCs w:val="20"/>
    </w:rPr>
  </w:style>
  <w:style w:type="character" w:customStyle="1" w:styleId="WW8Num17z1">
    <w:name w:val="WW8Num17z1"/>
    <w:rPr>
      <w:rFonts w:ascii="OpenSymbol" w:hAnsi="OpenSymbol" w:cs="OpenSymbol"/>
    </w:rPr>
  </w:style>
  <w:style w:type="character" w:customStyle="1" w:styleId="WW8Num18z0">
    <w:name w:val="WW8Num18z0"/>
    <w:rPr>
      <w:rFonts w:ascii="Arial Narrow" w:eastAsia="Arial Narrow" w:hAnsi="Arial Narrow" w:cs="Arial Narrow" w:hint="default"/>
      <w:b/>
    </w:rPr>
  </w:style>
  <w:style w:type="character" w:customStyle="1" w:styleId="WW8Num19z0">
    <w:name w:val="WW8Num19z0"/>
    <w:rPr>
      <w:rFonts w:ascii="Symbol" w:hAnsi="Symbol" w:cs="Symbol" w:hint="default"/>
    </w:rPr>
  </w:style>
  <w:style w:type="character" w:customStyle="1" w:styleId="WW8Num20z0">
    <w:name w:val="WW8Num20z0"/>
    <w:rPr>
      <w:rFonts w:ascii="Arial Narrow" w:hAnsi="Arial Narrow" w:cs="Arial Narrow" w:hint="default"/>
    </w:rPr>
  </w:style>
  <w:style w:type="character" w:customStyle="1" w:styleId="WW8Num21z0">
    <w:name w:val="WW8Num21z0"/>
    <w:rPr>
      <w:rFonts w:ascii="Arial Narrow" w:hAnsi="Arial Narrow" w:cs="Arial Narrow" w:hint="default"/>
      <w:b/>
      <w:sz w:val="20"/>
      <w:szCs w:val="20"/>
    </w:rPr>
  </w:style>
  <w:style w:type="character" w:customStyle="1" w:styleId="Fontepargpadro4">
    <w:name w:val="Fonte parág. padrão4"/>
  </w:style>
  <w:style w:type="character" w:customStyle="1" w:styleId="WW8Num8z1">
    <w:name w:val="WW8Num8z1"/>
    <w:rPr>
      <w:rFonts w:ascii="Wingdings" w:hAnsi="Wingdings" w:cs="Courier New"/>
    </w:rPr>
  </w:style>
  <w:style w:type="character" w:customStyle="1" w:styleId="WW8Num8z3">
    <w:name w:val="WW8Num8z3"/>
  </w:style>
  <w:style w:type="character" w:customStyle="1" w:styleId="WW8Num8z4">
    <w:name w:val="WW8Num8z4"/>
  </w:style>
  <w:style w:type="character" w:customStyle="1" w:styleId="WW8Num8z7">
    <w:name w:val="WW8Num8z7"/>
    <w:rPr>
      <w:rFonts w:ascii="Courier New" w:hAnsi="Courier New" w:cs="Courier New"/>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6z1">
    <w:name w:val="WW8Num16z1"/>
    <w:rPr>
      <w:b/>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1z1">
    <w:name w:val="WW8Num21z1"/>
    <w:rPr>
      <w:rFonts w:ascii="OpenSymbol" w:hAnsi="OpenSymbol" w:cs="OpenSymbol"/>
    </w:rPr>
  </w:style>
  <w:style w:type="character" w:customStyle="1" w:styleId="WW8Num22z0">
    <w:name w:val="WW8Num22z0"/>
    <w:rPr>
      <w:rFonts w:ascii="Arial Narrow" w:hAnsi="Arial Narrow" w:cs="Arial Narrow"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eastAsia="Times New Roman"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Arial Narrow" w:eastAsia="Arial Narrow" w:hAnsi="Arial Narrow" w:cs="Arial Narrow" w:hint="default"/>
      <w:b/>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ascii="Arial Narrow" w:hAnsi="Arial Narrow" w:cs="Arial Narrow"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Arial Narrow" w:hAnsi="Arial Narrow" w:cs="Arial Narrow" w:hint="default"/>
      <w:b/>
      <w:sz w:val="20"/>
      <w:szCs w:val="2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Fontepargpadro3">
    <w:name w:val="Fonte parág. padrão3"/>
  </w:style>
  <w:style w:type="character" w:customStyle="1" w:styleId="Fontepargpadro2">
    <w:name w:val="Fonte parág. padrão2"/>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0z1">
    <w:name w:val="WW8Num10z1"/>
    <w:rPr>
      <w:rFonts w:ascii="Wingdings" w:hAnsi="Wingdings" w:cs="Wingdings"/>
    </w:rPr>
  </w:style>
  <w:style w:type="character" w:customStyle="1" w:styleId="WW8Num10z2">
    <w:name w:val="WW8Num10z2"/>
    <w:rPr>
      <w:b/>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7z1">
    <w:name w:val="WW8Num7z1"/>
  </w:style>
  <w:style w:type="character" w:customStyle="1" w:styleId="WW8Num7z2">
    <w:name w:val="WW8Num7z2"/>
    <w:rPr>
      <w:rFonts w:ascii="Arial Narrow" w:hAnsi="Arial Narrow" w:cs="Arial Narrow"/>
      <w:b/>
      <w:sz w:val="18"/>
      <w:szCs w:val="18"/>
    </w:rPr>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0z3">
    <w:name w:val="WW8Num10z3"/>
    <w:rPr>
      <w:rFonts w:ascii="Arial Narrow" w:hAnsi="Arial Narrow" w:cs="Arial Narrow"/>
      <w:b/>
      <w:sz w:val="20"/>
      <w:szCs w:val="20"/>
    </w:rPr>
  </w:style>
  <w:style w:type="character" w:customStyle="1" w:styleId="WW8Num10z4">
    <w:name w:val="WW8Num10z4"/>
  </w:style>
  <w:style w:type="character" w:customStyle="1" w:styleId="WW8Num10z7">
    <w:name w:val="WW8Num10z7"/>
    <w:rPr>
      <w:rFonts w:ascii="Courier New" w:hAnsi="Courier New" w:cs="Courier New"/>
    </w:rPr>
  </w:style>
  <w:style w:type="character" w:customStyle="1" w:styleId="WW8Num11z1">
    <w:name w:val="WW8Num11z1"/>
    <w:rPr>
      <w:sz w:val="20"/>
      <w:szCs w:val="20"/>
    </w:rPr>
  </w:style>
  <w:style w:type="character" w:customStyle="1" w:styleId="WW8Num11z2">
    <w:name w:val="WW8Num11z2"/>
    <w:rPr>
      <w:b/>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rPr>
      <w:b/>
      <w:sz w:val="20"/>
      <w:szCs w:val="20"/>
    </w:rPr>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8z2">
    <w:name w:val="WW8Num8z2"/>
    <w:rPr>
      <w:rFonts w:ascii="Wingdings" w:hAnsi="Wingdings" w:cs="Wingdings"/>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21z2">
    <w:name w:val="WW8Num21z2"/>
    <w:rPr>
      <w:b/>
    </w:rPr>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8z0">
    <w:name w:val="WW8Num28z0"/>
    <w:rPr>
      <w:rFonts w:ascii="Arial Narrow" w:hAnsi="Arial Narrow" w:cs="Arial"/>
      <w:b/>
      <w:sz w:val="18"/>
      <w:szCs w:val="18"/>
    </w:rPr>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b/>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Arial Narrow" w:hAnsi="Arial Narrow" w:cs="Arial"/>
      <w:b/>
      <w:sz w:val="20"/>
      <w:szCs w:val="20"/>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sz w:val="24"/>
      <w:szCs w:val="24"/>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Arial Narrow" w:hAnsi="Arial Narrow" w:cs="Arial"/>
      <w:b/>
      <w:sz w:val="18"/>
      <w:szCs w:val="18"/>
    </w:rPr>
  </w:style>
  <w:style w:type="character" w:customStyle="1" w:styleId="WW8Num36z0">
    <w:name w:val="WW8Num36z0"/>
    <w:rPr>
      <w:rFonts w:ascii="Arial Narrow" w:hAnsi="Arial Narrow" w:cs="Arial Narrow"/>
      <w:b/>
      <w:sz w:val="20"/>
      <w:szCs w:val="20"/>
    </w:rPr>
  </w:style>
  <w:style w:type="character" w:customStyle="1" w:styleId="WW8Num36z1">
    <w:name w:val="WW8Num36z1"/>
    <w:rPr>
      <w:rFonts w:ascii="Symbol" w:hAnsi="Symbol" w:cs="Symbol"/>
      <w:b/>
      <w:sz w:val="20"/>
      <w:szCs w:val="20"/>
    </w:rPr>
  </w:style>
  <w:style w:type="character" w:customStyle="1" w:styleId="WW8Num36z2">
    <w:name w:val="WW8Num36z2"/>
    <w:rPr>
      <w:rFonts w:ascii="Wingdings" w:hAnsi="Wingdings" w:cs="Wingdings"/>
      <w:b/>
      <w:sz w:val="20"/>
      <w:szCs w:val="20"/>
    </w:rPr>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Symbol" w:hAnsi="Symbol" w:cs="Symbol"/>
      <w:color w:val="0000FF"/>
      <w:sz w:val="18"/>
      <w:szCs w:val="18"/>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Fontepargpadro1">
    <w:name w:val="Fonte parág. padrão1"/>
  </w:style>
  <w:style w:type="character" w:customStyle="1" w:styleId="CharChar19">
    <w:name w:val="Char Char19"/>
    <w:rPr>
      <w:rFonts w:ascii="Arial" w:hAnsi="Arial" w:cs="Arial"/>
      <w:b/>
      <w:kern w:val="2"/>
      <w:sz w:val="28"/>
      <w:lang w:val="pt-BR" w:bidi="ar-SA"/>
    </w:rPr>
  </w:style>
  <w:style w:type="character" w:customStyle="1" w:styleId="CharChar18">
    <w:name w:val="Char Char18"/>
    <w:rPr>
      <w:rFonts w:ascii="Arial" w:hAnsi="Arial" w:cs="Arial"/>
      <w:b/>
      <w:i/>
      <w:sz w:val="24"/>
      <w:lang w:val="pt-BR" w:bidi="ar-SA"/>
    </w:rPr>
  </w:style>
  <w:style w:type="character" w:customStyle="1" w:styleId="CharChar17">
    <w:name w:val="Char Char17"/>
    <w:rPr>
      <w:b/>
      <w:sz w:val="24"/>
      <w:lang w:val="pt-BR" w:bidi="ar-SA"/>
    </w:rPr>
  </w:style>
  <w:style w:type="character" w:customStyle="1" w:styleId="CharChar16">
    <w:name w:val="Char Char16"/>
    <w:rPr>
      <w:b/>
      <w:i/>
      <w:sz w:val="24"/>
      <w:lang w:val="pt-BR" w:bidi="ar-SA"/>
    </w:rPr>
  </w:style>
  <w:style w:type="character" w:customStyle="1" w:styleId="CharChar15">
    <w:name w:val="Char Char15"/>
    <w:rPr>
      <w:rFonts w:ascii="Arial" w:hAnsi="Arial" w:cs="Arial"/>
      <w:sz w:val="22"/>
      <w:lang w:val="pt-BR" w:bidi="ar-SA"/>
    </w:rPr>
  </w:style>
  <w:style w:type="character" w:customStyle="1" w:styleId="CharChar14">
    <w:name w:val="Char Char14"/>
    <w:rPr>
      <w:rFonts w:ascii="Arial" w:hAnsi="Arial" w:cs="Arial"/>
      <w:i/>
      <w:sz w:val="22"/>
      <w:lang w:val="pt-BR" w:bidi="ar-SA"/>
    </w:rPr>
  </w:style>
  <w:style w:type="character" w:customStyle="1" w:styleId="CharChar13">
    <w:name w:val="Char Char13"/>
    <w:rPr>
      <w:rFonts w:ascii="Arial" w:hAnsi="Arial" w:cs="Arial"/>
      <w:lang w:val="pt-BR" w:bidi="ar-SA"/>
    </w:rPr>
  </w:style>
  <w:style w:type="character" w:customStyle="1" w:styleId="CharChar12">
    <w:name w:val="Char Char12"/>
    <w:rPr>
      <w:rFonts w:ascii="Arial" w:hAnsi="Arial" w:cs="Arial"/>
      <w:i/>
      <w:lang w:val="pt-BR" w:bidi="ar-SA"/>
    </w:rPr>
  </w:style>
  <w:style w:type="character" w:customStyle="1" w:styleId="CharChar11">
    <w:name w:val="Char Char11"/>
    <w:rPr>
      <w:rFonts w:ascii="Arial" w:hAnsi="Arial" w:cs="Arial"/>
      <w:i/>
      <w:sz w:val="18"/>
      <w:lang w:val="pt-BR" w:bidi="ar-SA"/>
    </w:rPr>
  </w:style>
  <w:style w:type="character" w:customStyle="1" w:styleId="CharChar10">
    <w:name w:val="Char Char10"/>
    <w:rPr>
      <w:rFonts w:ascii="Arial" w:eastAsia="Times New Roman" w:hAnsi="Arial" w:cs="Times New Roman"/>
      <w:sz w:val="24"/>
      <w:szCs w:val="20"/>
    </w:rPr>
  </w:style>
  <w:style w:type="character" w:customStyle="1" w:styleId="CharChar9">
    <w:name w:val="Char Char9"/>
    <w:rPr>
      <w:rFonts w:ascii="Times New Roman" w:eastAsia="Times New Roman" w:hAnsi="Times New Roman" w:cs="Times New Roman"/>
      <w:sz w:val="20"/>
      <w:szCs w:val="20"/>
    </w:rPr>
  </w:style>
  <w:style w:type="character" w:customStyle="1" w:styleId="CharChar8">
    <w:name w:val="Char Char8"/>
    <w:rPr>
      <w:rFonts w:ascii="Times New Roman" w:eastAsia="Times New Roman" w:hAnsi="Times New Roman" w:cs="Times New Roman"/>
      <w:sz w:val="20"/>
      <w:szCs w:val="20"/>
    </w:rPr>
  </w:style>
  <w:style w:type="character" w:customStyle="1" w:styleId="CharChar7">
    <w:name w:val="Char Char7"/>
    <w:rPr>
      <w:rFonts w:ascii="Times New Roman" w:eastAsia="Times New Roman" w:hAnsi="Times New Roman" w:cs="Times New Roman"/>
      <w:sz w:val="20"/>
      <w:szCs w:val="20"/>
    </w:rPr>
  </w:style>
  <w:style w:type="character" w:customStyle="1" w:styleId="CharChar6">
    <w:name w:val="Char Char6"/>
    <w:rPr>
      <w:rFonts w:ascii="Times New Roman" w:eastAsia="Times New Roman" w:hAnsi="Times New Roman" w:cs="Times New Roman"/>
      <w:sz w:val="24"/>
      <w:szCs w:val="20"/>
    </w:rPr>
  </w:style>
  <w:style w:type="character" w:customStyle="1" w:styleId="CharChar5">
    <w:name w:val="Char Char5"/>
    <w:rPr>
      <w:rFonts w:ascii="Times New Roman" w:eastAsia="Times New Roman" w:hAnsi="Times New Roman" w:cs="Times New Roman"/>
      <w:sz w:val="20"/>
      <w:szCs w:val="20"/>
    </w:rPr>
  </w:style>
  <w:style w:type="character" w:customStyle="1" w:styleId="CharChar4">
    <w:name w:val="Char Char4"/>
    <w:rPr>
      <w:rFonts w:ascii="Times New Roman" w:eastAsia="Times New Roman" w:hAnsi="Times New Roman" w:cs="Times New Roman"/>
      <w:b/>
      <w:bCs/>
      <w:sz w:val="20"/>
      <w:szCs w:val="20"/>
    </w:rPr>
  </w:style>
  <w:style w:type="character" w:customStyle="1" w:styleId="CharChar3">
    <w:name w:val="Char Char3"/>
    <w:rPr>
      <w:rFonts w:ascii="Times New Roman" w:eastAsia="Times New Roman" w:hAnsi="Times New Roman" w:cs="Times New Roman"/>
      <w:b/>
      <w:szCs w:val="20"/>
    </w:rPr>
  </w:style>
  <w:style w:type="character" w:customStyle="1" w:styleId="CharChar2">
    <w:name w:val="Char Char2"/>
    <w:rPr>
      <w:rFonts w:ascii="Times New Roman" w:eastAsia="Times New Roman" w:hAnsi="Times New Roman" w:cs="Times New Roman"/>
      <w:sz w:val="20"/>
      <w:szCs w:val="20"/>
    </w:rPr>
  </w:style>
  <w:style w:type="character" w:customStyle="1" w:styleId="CharChar1">
    <w:name w:val="Char Char1"/>
    <w:rPr>
      <w:rFonts w:ascii="Arial" w:eastAsia="Times New Roman" w:hAnsi="Arial" w:cs="Times New Roman"/>
      <w:sz w:val="24"/>
      <w:szCs w:val="20"/>
    </w:rPr>
  </w:style>
  <w:style w:type="character" w:customStyle="1" w:styleId="tx1">
    <w:name w:val="tx1"/>
    <w:rPr>
      <w:rFonts w:ascii="Verdana" w:hAnsi="Verdana" w:cs="Verdana"/>
      <w:color w:val="000000"/>
      <w:sz w:val="16"/>
      <w:szCs w:val="16"/>
      <w:u w:val="none"/>
    </w:rPr>
  </w:style>
  <w:style w:type="character" w:customStyle="1" w:styleId="tituloitens">
    <w:name w:val="tituloitens"/>
    <w:basedOn w:val="Fontepargpadro1"/>
  </w:style>
  <w:style w:type="character" w:customStyle="1" w:styleId="CharChar">
    <w:name w:val="Char Char"/>
    <w:rPr>
      <w:rFonts w:ascii="Courier New" w:eastAsia="Times New Roman" w:hAnsi="Courier New" w:cs="Courier New"/>
      <w:sz w:val="20"/>
      <w:szCs w:val="20"/>
    </w:rPr>
  </w:style>
  <w:style w:type="character" w:customStyle="1" w:styleId="Marcas">
    <w:name w:val="Marcas"/>
    <w:rPr>
      <w:rFonts w:ascii="OpenSymbol" w:eastAsia="OpenSymbol" w:hAnsi="OpenSymbol" w:cs="OpenSymbol"/>
    </w:rPr>
  </w:style>
  <w:style w:type="character" w:customStyle="1" w:styleId="Smbolosdenumerao">
    <w:name w:val="Símbolos de numeração"/>
  </w:style>
  <w:style w:type="paragraph" w:customStyle="1" w:styleId="Ttulo40">
    <w:name w:val="Título4"/>
    <w:basedOn w:val="Ttulo30"/>
    <w:next w:val="Corpodetexto"/>
  </w:style>
  <w:style w:type="paragraph" w:customStyle="1" w:styleId="Ttulo30">
    <w:name w:val="Título3"/>
    <w:basedOn w:val="Ttulo20"/>
    <w:next w:val="Corpodetexto"/>
    <w:pPr>
      <w:jc w:val="center"/>
    </w:pPr>
    <w:rPr>
      <w:b/>
      <w:bCs/>
      <w:sz w:val="56"/>
      <w:szCs w:val="56"/>
    </w:rPr>
  </w:style>
  <w:style w:type="paragraph" w:customStyle="1" w:styleId="Ttulo10">
    <w:name w:val="Título1"/>
    <w:basedOn w:val="Normal"/>
    <w:next w:val="Corpodetexto"/>
    <w:pPr>
      <w:keepNext/>
      <w:spacing w:before="240" w:after="120"/>
    </w:pPr>
    <w:rPr>
      <w:rFonts w:eastAsia="Microsoft YaHei" w:cs="Mangal"/>
      <w:sz w:val="28"/>
      <w:szCs w:val="28"/>
      <w:lang w:eastAsia="zh-CN"/>
    </w:rPr>
  </w:style>
  <w:style w:type="paragraph" w:customStyle="1" w:styleId="Commarcadores21">
    <w:name w:val="Com marcadores 21"/>
    <w:basedOn w:val="Normal"/>
    <w:pPr>
      <w:ind w:left="566" w:hanging="283"/>
    </w:pPr>
    <w:rPr>
      <w:rFonts w:ascii="Times New Roman" w:hAnsi="Times New Roman" w:cs="Times New Roman"/>
      <w:szCs w:val="20"/>
      <w:lang w:eastAsia="zh-CN"/>
    </w:rPr>
  </w:style>
  <w:style w:type="paragraph" w:customStyle="1" w:styleId="Cabealhodamensagem1">
    <w:name w:val="Cabeçalho da mensagem1"/>
    <w:basedOn w:val="Normal"/>
    <w:pPr>
      <w:ind w:left="1134" w:hanging="1134"/>
    </w:pPr>
    <w:rPr>
      <w:rFonts w:cs="Arial"/>
      <w:sz w:val="24"/>
      <w:szCs w:val="20"/>
      <w:lang w:eastAsia="zh-CN"/>
    </w:rPr>
  </w:style>
  <w:style w:type="paragraph" w:customStyle="1" w:styleId="Corpodetexto22">
    <w:name w:val="Corpo de texto 22"/>
    <w:basedOn w:val="Normal"/>
    <w:pPr>
      <w:spacing w:after="120"/>
      <w:ind w:left="283"/>
    </w:pPr>
    <w:rPr>
      <w:rFonts w:ascii="Times New Roman" w:hAnsi="Times New Roman" w:cs="Times New Roman"/>
      <w:szCs w:val="20"/>
      <w:lang w:eastAsia="zh-CN"/>
    </w:rPr>
  </w:style>
  <w:style w:type="paragraph" w:customStyle="1" w:styleId="Corpodetexto31">
    <w:name w:val="Corpo de texto 31"/>
    <w:basedOn w:val="Corpodetexto22"/>
  </w:style>
  <w:style w:type="character" w:customStyle="1" w:styleId="RecuodecorpodetextoChar">
    <w:name w:val="Recuo de corpo de texto Char"/>
    <w:basedOn w:val="Fontepargpadro"/>
    <w:link w:val="Recuodecorpodetexto"/>
    <w:rPr>
      <w:sz w:val="24"/>
      <w:lang w:eastAsia="zh-CN"/>
    </w:rPr>
  </w:style>
  <w:style w:type="paragraph" w:customStyle="1" w:styleId="Recuodecorpodetexto21">
    <w:name w:val="Recuo de corpo de texto 21"/>
    <w:basedOn w:val="Normal"/>
    <w:pPr>
      <w:ind w:firstLine="709"/>
      <w:jc w:val="both"/>
    </w:pPr>
    <w:rPr>
      <w:rFonts w:ascii="Times New Roman" w:hAnsi="Times New Roman" w:cs="Times New Roman"/>
      <w:szCs w:val="20"/>
      <w:lang w:eastAsia="zh-CN"/>
    </w:rPr>
  </w:style>
  <w:style w:type="paragraph" w:customStyle="1" w:styleId="Corpodetexto311">
    <w:name w:val="Corpo de texto 311"/>
    <w:basedOn w:val="Normal"/>
    <w:pPr>
      <w:jc w:val="both"/>
    </w:pPr>
    <w:rPr>
      <w:rFonts w:ascii="Times New Roman" w:hAnsi="Times New Roman" w:cs="Times New Roman"/>
      <w:b/>
      <w:sz w:val="22"/>
      <w:szCs w:val="20"/>
      <w:lang w:eastAsia="zh-CN"/>
    </w:rPr>
  </w:style>
  <w:style w:type="paragraph" w:customStyle="1" w:styleId="BodyText21">
    <w:name w:val="Body Text 21"/>
    <w:basedOn w:val="Normal"/>
    <w:pPr>
      <w:jc w:val="both"/>
    </w:pPr>
    <w:rPr>
      <w:rFonts w:ascii="Times New Roman" w:hAnsi="Times New Roman" w:cs="Times New Roman"/>
      <w:sz w:val="24"/>
      <w:szCs w:val="20"/>
      <w:lang w:eastAsia="zh-CN"/>
    </w:rPr>
  </w:style>
  <w:style w:type="paragraph" w:customStyle="1" w:styleId="Recuodecorpodetexto32">
    <w:name w:val="Recuo de corpo de texto 32"/>
    <w:basedOn w:val="Normal"/>
    <w:pPr>
      <w:tabs>
        <w:tab w:val="left" w:pos="5814"/>
      </w:tabs>
      <w:spacing w:after="120"/>
      <w:ind w:left="567"/>
      <w:jc w:val="both"/>
    </w:pPr>
    <w:rPr>
      <w:rFonts w:ascii="Times New Roman" w:hAnsi="Times New Roman" w:cs="Times New Roman"/>
      <w:szCs w:val="20"/>
      <w:lang w:eastAsia="zh-CN"/>
    </w:rPr>
  </w:style>
  <w:style w:type="paragraph" w:customStyle="1" w:styleId="Saudao1">
    <w:name w:val="Saudação1"/>
    <w:basedOn w:val="Normal"/>
    <w:pPr>
      <w:jc w:val="both"/>
    </w:pPr>
    <w:rPr>
      <w:rFonts w:cs="Arial"/>
      <w:sz w:val="24"/>
      <w:szCs w:val="20"/>
      <w:lang w:eastAsia="zh-CN"/>
    </w:rPr>
  </w:style>
  <w:style w:type="paragraph" w:customStyle="1" w:styleId="Blockquote">
    <w:name w:val="Blockquote"/>
    <w:basedOn w:val="Normal"/>
    <w:pPr>
      <w:widowControl w:val="0"/>
      <w:spacing w:before="100" w:after="100"/>
      <w:ind w:left="360" w:right="360"/>
    </w:pPr>
    <w:rPr>
      <w:rFonts w:ascii="Times New Roman" w:hAnsi="Times New Roman" w:cs="Times New Roman"/>
      <w:sz w:val="24"/>
      <w:szCs w:val="20"/>
      <w:lang w:eastAsia="zh-CN"/>
    </w:rPr>
  </w:style>
  <w:style w:type="paragraph" w:customStyle="1" w:styleId="tex3">
    <w:name w:val="tex3"/>
    <w:basedOn w:val="Normal"/>
    <w:pPr>
      <w:spacing w:before="280" w:after="280"/>
      <w:jc w:val="both"/>
    </w:pPr>
    <w:rPr>
      <w:rFonts w:ascii="Verdana" w:hAnsi="Verdana" w:cs="Verdana"/>
      <w:color w:val="000000"/>
      <w:sz w:val="18"/>
      <w:szCs w:val="18"/>
      <w:lang w:eastAsia="zh-CN"/>
    </w:rPr>
  </w:style>
  <w:style w:type="paragraph" w:customStyle="1" w:styleId="tex3b">
    <w:name w:val="tex3b"/>
    <w:basedOn w:val="Normal"/>
    <w:pPr>
      <w:spacing w:before="280" w:after="280"/>
    </w:pPr>
    <w:rPr>
      <w:rFonts w:ascii="Verdana" w:hAnsi="Verdana" w:cs="Verdana"/>
      <w:b/>
      <w:bCs/>
      <w:color w:val="000000"/>
      <w:sz w:val="18"/>
      <w:szCs w:val="18"/>
      <w:lang w:eastAsia="zh-CN"/>
    </w:rPr>
  </w:style>
  <w:style w:type="paragraph" w:customStyle="1" w:styleId="WW-Corpodetexto21">
    <w:name w:val="WW-Corpo de texto 21"/>
    <w:basedOn w:val="Normal"/>
    <w:pPr>
      <w:widowControl w:val="0"/>
      <w:tabs>
        <w:tab w:val="left" w:pos="1701"/>
      </w:tabs>
      <w:spacing w:before="283"/>
      <w:jc w:val="both"/>
    </w:pPr>
    <w:rPr>
      <w:rFonts w:cs="Arial"/>
      <w:sz w:val="22"/>
      <w:szCs w:val="20"/>
      <w:lang w:eastAsia="zh-CN"/>
    </w:rPr>
  </w:style>
  <w:style w:type="paragraph" w:customStyle="1" w:styleId="xl52">
    <w:name w:val="xl52"/>
    <w:basedOn w:val="Normal"/>
    <w:pPr>
      <w:pBdr>
        <w:top w:val="none" w:sz="0" w:space="0" w:color="000000"/>
        <w:left w:val="single" w:sz="4" w:space="0" w:color="000000"/>
        <w:bottom w:val="single" w:sz="4" w:space="0" w:color="000000"/>
        <w:right w:val="single" w:sz="4" w:space="0" w:color="000000"/>
      </w:pBdr>
      <w:spacing w:before="280" w:after="280"/>
      <w:textAlignment w:val="top"/>
    </w:pPr>
    <w:rPr>
      <w:rFonts w:ascii="Times New Roman" w:hAnsi="Times New Roman" w:cs="Times New Roman"/>
      <w:b/>
      <w:bCs/>
      <w:sz w:val="24"/>
      <w:lang w:eastAsia="zh-CN"/>
    </w:rPr>
  </w:style>
  <w:style w:type="paragraph" w:customStyle="1" w:styleId="Estilo1">
    <w:name w:val="Estilo1"/>
    <w:basedOn w:val="Normal"/>
    <w:pPr>
      <w:jc w:val="both"/>
    </w:pPr>
    <w:rPr>
      <w:rFonts w:ascii="Verdana" w:hAnsi="Verdana" w:cs="Verdana"/>
      <w:sz w:val="16"/>
      <w:szCs w:val="20"/>
      <w:lang w:eastAsia="zh-CN"/>
    </w:rPr>
  </w:style>
  <w:style w:type="paragraph" w:customStyle="1" w:styleId="TextosemFormatao1">
    <w:name w:val="Texto sem Formatação1"/>
    <w:basedOn w:val="Normal"/>
    <w:rPr>
      <w:rFonts w:ascii="Courier New" w:hAnsi="Courier New" w:cs="Courier New"/>
      <w:szCs w:val="20"/>
      <w:lang w:eastAsia="zh-CN"/>
    </w:rPr>
  </w:style>
  <w:style w:type="paragraph" w:customStyle="1" w:styleId="Commarcadores1">
    <w:name w:val="Com marcadores1"/>
    <w:basedOn w:val="Normal"/>
    <w:pPr>
      <w:tabs>
        <w:tab w:val="left" w:pos="1492"/>
      </w:tabs>
      <w:ind w:left="1492" w:hanging="360"/>
    </w:pPr>
    <w:rPr>
      <w:rFonts w:ascii="Times New Roman" w:hAnsi="Times New Roman" w:cs="Times New Roman"/>
      <w:szCs w:val="20"/>
      <w:lang w:eastAsia="zh-CN"/>
    </w:rPr>
  </w:style>
  <w:style w:type="paragraph" w:customStyle="1" w:styleId="Corpo">
    <w:name w:val="Corpo"/>
    <w:pPr>
      <w:suppressAutoHyphens/>
    </w:pPr>
    <w:rPr>
      <w:rFonts w:ascii="Courier" w:hAnsi="Courier" w:cs="Courier"/>
      <w:color w:val="000000"/>
      <w:sz w:val="24"/>
      <w:lang w:eastAsia="zh-CN"/>
    </w:rPr>
  </w:style>
  <w:style w:type="paragraph" w:customStyle="1" w:styleId="subtarorx">
    <w:name w:val="subtaror x"/>
    <w:basedOn w:val="Normal"/>
    <w:pPr>
      <w:tabs>
        <w:tab w:val="decimal" w:pos="0"/>
      </w:tabs>
      <w:autoSpaceDE w:val="0"/>
      <w:spacing w:before="60"/>
      <w:jc w:val="both"/>
    </w:pPr>
    <w:rPr>
      <w:rFonts w:cs="Arial"/>
      <w:sz w:val="22"/>
      <w:szCs w:val="20"/>
      <w:lang w:eastAsia="zh-CN"/>
    </w:rPr>
  </w:style>
  <w:style w:type="paragraph" w:customStyle="1" w:styleId="SalisNumeroEsquerdaArial11">
    <w:name w:val="SalisNumeroEsquerdaArial11"/>
    <w:pPr>
      <w:numPr>
        <w:numId w:val="6"/>
      </w:numPr>
      <w:suppressAutoHyphens/>
      <w:spacing w:after="120"/>
      <w:jc w:val="both"/>
    </w:pPr>
    <w:rPr>
      <w:rFonts w:ascii="Arial" w:hAnsi="Arial" w:cs="Arial"/>
      <w:sz w:val="22"/>
      <w:lang w:eastAsia="zh-CN"/>
    </w:rPr>
  </w:style>
  <w:style w:type="paragraph" w:customStyle="1" w:styleId="reservado3">
    <w:name w:val="reservado3"/>
    <w:basedOn w:val="Normal"/>
    <w:pPr>
      <w:tabs>
        <w:tab w:val="left" w:pos="9000"/>
        <w:tab w:val="right" w:pos="9360"/>
      </w:tabs>
      <w:jc w:val="both"/>
    </w:pPr>
    <w:rPr>
      <w:rFonts w:cs="Arial"/>
      <w:sz w:val="24"/>
      <w:szCs w:val="20"/>
      <w:lang w:val="en-US" w:eastAsia="zh-CN"/>
    </w:rPr>
  </w:style>
  <w:style w:type="paragraph" w:customStyle="1" w:styleId="SalisAlineaArial11">
    <w:name w:val="SalisAlineaArial11"/>
    <w:pPr>
      <w:numPr>
        <w:numId w:val="7"/>
      </w:numPr>
      <w:tabs>
        <w:tab w:val="left" w:pos="454"/>
        <w:tab w:val="left" w:pos="1134"/>
      </w:tabs>
      <w:suppressAutoHyphens/>
      <w:spacing w:after="120"/>
      <w:jc w:val="both"/>
    </w:pPr>
    <w:rPr>
      <w:rFonts w:ascii="Arial" w:hAnsi="Arial" w:cs="Arial"/>
      <w:sz w:val="22"/>
      <w:lang w:eastAsia="zh-CN"/>
    </w:rPr>
  </w:style>
  <w:style w:type="paragraph" w:customStyle="1" w:styleId="SalisAlineaIndent1Arial11">
    <w:name w:val="SalisAlineaIndent1Arial11"/>
    <w:pPr>
      <w:tabs>
        <w:tab w:val="left" w:pos="360"/>
      </w:tabs>
      <w:suppressAutoHyphens/>
      <w:ind w:left="567"/>
      <w:jc w:val="both"/>
    </w:pPr>
    <w:rPr>
      <w:rFonts w:ascii="Arial" w:hAnsi="Arial" w:cs="Arial"/>
      <w:sz w:val="22"/>
      <w:lang w:eastAsia="zh-CN"/>
    </w:rPr>
  </w:style>
  <w:style w:type="paragraph" w:customStyle="1" w:styleId="Estilo2">
    <w:name w:val="Estilo2"/>
    <w:basedOn w:val="Normal"/>
    <w:pPr>
      <w:autoSpaceDE w:val="0"/>
      <w:ind w:left="2694" w:hanging="284"/>
      <w:jc w:val="both"/>
    </w:pPr>
    <w:rPr>
      <w:rFonts w:cs="Arial"/>
      <w:sz w:val="24"/>
      <w:lang w:eastAsia="zh-CN"/>
    </w:rPr>
  </w:style>
  <w:style w:type="paragraph" w:customStyle="1" w:styleId="Intro">
    <w:name w:val="Intro"/>
    <w:basedOn w:val="Normal"/>
    <w:pPr>
      <w:spacing w:after="360"/>
      <w:ind w:firstLine="1418"/>
      <w:jc w:val="both"/>
    </w:pPr>
    <w:rPr>
      <w:rFonts w:cs="Arial"/>
      <w:sz w:val="22"/>
      <w:szCs w:val="20"/>
      <w:lang w:eastAsia="zh-CN"/>
    </w:rPr>
  </w:style>
  <w:style w:type="paragraph" w:customStyle="1" w:styleId="Textoembloco1">
    <w:name w:val="Texto em bloco1"/>
    <w:basedOn w:val="Normal"/>
    <w:pPr>
      <w:ind w:left="-709" w:right="-567"/>
      <w:jc w:val="both"/>
    </w:pPr>
    <w:rPr>
      <w:rFonts w:cs="Arial"/>
      <w:sz w:val="24"/>
      <w:szCs w:val="20"/>
      <w:lang w:eastAsia="zh-CN"/>
    </w:rPr>
  </w:style>
  <w:style w:type="paragraph" w:customStyle="1" w:styleId="Corpodetexto1">
    <w:name w:val="Corpo de texto1"/>
    <w:pPr>
      <w:suppressAutoHyphens/>
    </w:pPr>
    <w:rPr>
      <w:rFonts w:ascii="CG Times (WN)" w:hAnsi="CG Times (WN)" w:cs="CG Times (WN)"/>
      <w:color w:val="000000"/>
      <w:sz w:val="24"/>
      <w:lang w:val="en-US" w:eastAsia="zh-CN"/>
    </w:rPr>
  </w:style>
  <w:style w:type="paragraph" w:customStyle="1" w:styleId="SalisQuadroReceitaNegritoArial11">
    <w:name w:val="SalisQuadroReceitaNegritoArial11"/>
    <w:pPr>
      <w:suppressAutoHyphens/>
      <w:spacing w:after="40"/>
    </w:pPr>
    <w:rPr>
      <w:rFonts w:ascii="Arial" w:hAnsi="Arial" w:cs="Arial"/>
      <w:b/>
      <w:sz w:val="22"/>
      <w:lang w:eastAsia="zh-CN"/>
    </w:rPr>
  </w:style>
  <w:style w:type="paragraph" w:customStyle="1" w:styleId="SalisTituloCentralizNegrArial11">
    <w:name w:val="SalisTituloCentralizNegrArial11"/>
    <w:pPr>
      <w:widowControl w:val="0"/>
      <w:suppressAutoHyphens/>
      <w:jc w:val="center"/>
    </w:pPr>
    <w:rPr>
      <w:rFonts w:ascii="Arial" w:hAnsi="Arial" w:cs="Arial"/>
      <w:b/>
      <w:bCs/>
      <w:sz w:val="22"/>
      <w:lang w:eastAsia="zh-CN"/>
    </w:rPr>
  </w:style>
  <w:style w:type="paragraph" w:customStyle="1" w:styleId="Recuodecorpodetexto31">
    <w:name w:val="Recuo de corpo de texto 31"/>
    <w:basedOn w:val="Normal"/>
    <w:pPr>
      <w:spacing w:after="120"/>
      <w:ind w:left="283"/>
    </w:pPr>
    <w:rPr>
      <w:rFonts w:ascii="Times New Roman" w:hAnsi="Times New Roman" w:cs="Times New Roman"/>
      <w:sz w:val="16"/>
      <w:szCs w:val="16"/>
      <w:lang w:eastAsia="zh-CN"/>
    </w:rPr>
  </w:style>
  <w:style w:type="paragraph" w:customStyle="1" w:styleId="TableContents">
    <w:name w:val="Table Contents"/>
    <w:basedOn w:val="Normal"/>
    <w:pPr>
      <w:suppressLineNumbers/>
    </w:pPr>
    <w:rPr>
      <w:rFonts w:ascii="Times New Roman" w:hAnsi="Times New Roman" w:cs="Times New Roman"/>
      <w:sz w:val="24"/>
      <w:lang w:eastAsia="zh-CN"/>
    </w:rPr>
  </w:style>
  <w:style w:type="paragraph" w:customStyle="1" w:styleId="TableHeading">
    <w:name w:val="Table Heading"/>
    <w:basedOn w:val="TableContents"/>
    <w:pPr>
      <w:jc w:val="center"/>
    </w:pPr>
    <w:rPr>
      <w:b/>
      <w:bCs/>
    </w:rPr>
  </w:style>
  <w:style w:type="paragraph" w:customStyle="1" w:styleId="Contedodatabela">
    <w:name w:val="Conteúdo da tabela"/>
    <w:basedOn w:val="Normal"/>
    <w:pPr>
      <w:suppressLineNumbers/>
    </w:pPr>
    <w:rPr>
      <w:rFonts w:ascii="Times New Roman" w:hAnsi="Times New Roman" w:cs="Times New Roman"/>
      <w:szCs w:val="20"/>
      <w:lang w:eastAsia="zh-CN"/>
    </w:rPr>
  </w:style>
  <w:style w:type="paragraph" w:customStyle="1" w:styleId="Ttulodetabela">
    <w:name w:val="Título de tabela"/>
    <w:basedOn w:val="Contedodatabela"/>
    <w:pPr>
      <w:jc w:val="center"/>
    </w:pPr>
    <w:rPr>
      <w:b/>
      <w:bCs/>
    </w:rPr>
  </w:style>
  <w:style w:type="paragraph" w:customStyle="1" w:styleId="Contedodoquadro">
    <w:name w:val="Conteúdo do quadro"/>
    <w:basedOn w:val="Normal"/>
    <w:rPr>
      <w:rFonts w:ascii="Times New Roman" w:hAnsi="Times New Roman" w:cs="Times New Roman"/>
      <w:szCs w:val="20"/>
      <w:lang w:eastAsia="zh-CN"/>
    </w:rPr>
  </w:style>
  <w:style w:type="paragraph" w:customStyle="1" w:styleId="Textoembloco2">
    <w:name w:val="Texto em bloco2"/>
    <w:basedOn w:val="Normal"/>
    <w:pPr>
      <w:suppressAutoHyphens w:val="0"/>
      <w:ind w:left="851" w:right="902" w:hanging="851"/>
      <w:jc w:val="both"/>
    </w:pPr>
    <w:rPr>
      <w:rFonts w:ascii="Times New Roman" w:hAnsi="Times New Roman" w:cs="Times New Roman"/>
      <w:sz w:val="22"/>
      <w:szCs w:val="22"/>
      <w:lang w:val="en-US" w:eastAsia="zh-CN"/>
    </w:rPr>
  </w:style>
  <w:style w:type="paragraph" w:customStyle="1" w:styleId="LO-normal">
    <w:name w:val="LO-normal"/>
    <w:pPr>
      <w:pBdr>
        <w:top w:val="none" w:sz="0" w:space="0" w:color="000000"/>
        <w:left w:val="none" w:sz="0" w:space="0" w:color="000000"/>
        <w:bottom w:val="none" w:sz="0" w:space="0" w:color="000000"/>
        <w:right w:val="none" w:sz="0" w:space="0" w:color="000000"/>
      </w:pBdr>
      <w:suppressAutoHyphens/>
      <w:spacing w:line="276" w:lineRule="auto"/>
    </w:pPr>
    <w:rPr>
      <w:rFonts w:ascii="Arial" w:eastAsia="Arial" w:hAnsi="Arial" w:cs="Arial"/>
      <w:color w:val="000000"/>
      <w:sz w:val="22"/>
      <w:szCs w:val="22"/>
      <w:lang w:eastAsia="zh-CN"/>
    </w:rPr>
  </w:style>
  <w:style w:type="paragraph" w:customStyle="1" w:styleId="Standard">
    <w:name w:val="Standard"/>
    <w:pPr>
      <w:widowControl w:val="0"/>
      <w:suppressAutoHyphens/>
      <w:textAlignment w:val="baseline"/>
    </w:pPr>
    <w:rPr>
      <w:rFonts w:eastAsia="SimSun"/>
      <w:kern w:val="2"/>
      <w:sz w:val="24"/>
      <w:szCs w:val="24"/>
      <w:lang w:eastAsia="zh-CN" w:bidi="hi-IN"/>
    </w:rPr>
  </w:style>
  <w:style w:type="paragraph" w:customStyle="1" w:styleId="Citaes">
    <w:name w:val="Citações"/>
    <w:basedOn w:val="Normal"/>
    <w:pPr>
      <w:spacing w:after="283"/>
      <w:ind w:left="567" w:right="567"/>
    </w:pPr>
    <w:rPr>
      <w:rFonts w:ascii="Times New Roman" w:hAnsi="Times New Roman" w:cs="Times New Roman"/>
      <w:szCs w:val="20"/>
      <w:lang w:eastAsia="zh-CN"/>
    </w:rPr>
  </w:style>
  <w:style w:type="character" w:customStyle="1" w:styleId="SubttuloChar">
    <w:name w:val="Subtítulo Char"/>
    <w:basedOn w:val="Fontepargpadro"/>
    <w:link w:val="Subttulo"/>
    <w:rPr>
      <w:rFonts w:ascii="Liberation Sans" w:eastAsia="Microsoft YaHei" w:hAnsi="Liberation Sans" w:cs="Mangal"/>
      <w:sz w:val="36"/>
      <w:szCs w:val="36"/>
      <w:lang w:eastAsia="zh-CN"/>
    </w:rPr>
  </w:style>
  <w:style w:type="paragraph" w:customStyle="1" w:styleId="Recuodecorpodetexto22">
    <w:name w:val="Recuo de corpo de texto 22"/>
    <w:basedOn w:val="Normal"/>
    <w:pPr>
      <w:spacing w:after="120" w:line="480" w:lineRule="auto"/>
      <w:ind w:left="283"/>
    </w:pPr>
    <w:rPr>
      <w:rFonts w:ascii="Times New Roman" w:hAnsi="Times New Roman" w:cs="Times New Roman"/>
      <w:szCs w:val="20"/>
      <w:lang w:eastAsia="zh-CN"/>
    </w:rPr>
  </w:style>
  <w:style w:type="paragraph" w:customStyle="1" w:styleId="TableParagraph">
    <w:name w:val="Table Paragraph"/>
    <w:basedOn w:val="Normal"/>
    <w:uiPriority w:val="1"/>
    <w:qFormat/>
    <w:pPr>
      <w:widowControl w:val="0"/>
      <w:suppressAutoHyphens w:val="0"/>
      <w:autoSpaceDE w:val="0"/>
      <w:autoSpaceDN w:val="0"/>
      <w:ind w:left="103"/>
    </w:pPr>
    <w:rPr>
      <w:rFonts w:ascii="Times New Roman" w:hAnsi="Times New Roman" w:cs="Times New Roman"/>
      <w:sz w:val="22"/>
      <w:szCs w:val="22"/>
      <w:lang w:val="en-US" w:eastAsia="en-US"/>
    </w:rPr>
  </w:style>
  <w:style w:type="character" w:customStyle="1" w:styleId="Corpodetexto2Char">
    <w:name w:val="Corpo de texto 2 Char"/>
    <w:basedOn w:val="Fontepargpadro"/>
    <w:link w:val="Corpodetexto2"/>
  </w:style>
  <w:style w:type="character" w:customStyle="1" w:styleId="Recuodecorpodetexto3Char">
    <w:name w:val="Recuo de corpo de texto 3 Char"/>
    <w:basedOn w:val="Fontepargpadro"/>
    <w:link w:val="Recuodecorpodetexto3"/>
    <w:rPr>
      <w:rFonts w:ascii="Arial" w:hAnsi="Arial" w:cs="Tahoma"/>
      <w:sz w:val="16"/>
      <w:szCs w:val="16"/>
    </w:rPr>
  </w:style>
  <w:style w:type="paragraph" w:customStyle="1" w:styleId="textojustificadorecuoprimeiralinha">
    <w:name w:val="textojustificadorecuoprimeiralinha"/>
    <w:basedOn w:val="Normal"/>
    <w:pPr>
      <w:suppressAutoHyphens w:val="0"/>
      <w:spacing w:before="100" w:beforeAutospacing="1" w:after="100" w:afterAutospacing="1"/>
    </w:pPr>
    <w:rPr>
      <w:rFonts w:ascii="Times New Roman" w:hAnsi="Times New Roman" w:cs="Times New Roman"/>
      <w:sz w:val="24"/>
    </w:rPr>
  </w:style>
  <w:style w:type="paragraph" w:customStyle="1" w:styleId="dou-paragraph">
    <w:name w:val="dou-paragraph"/>
    <w:basedOn w:val="Normal"/>
    <w:pPr>
      <w:suppressAutoHyphens w:val="0"/>
      <w:spacing w:before="100" w:beforeAutospacing="1" w:after="100" w:afterAutospacing="1"/>
    </w:pPr>
    <w:rPr>
      <w:rFonts w:ascii="Times New Roman" w:hAnsi="Times New Roman" w:cs="Times New Roman"/>
      <w:sz w:val="24"/>
    </w:rPr>
  </w:style>
  <w:style w:type="character" w:customStyle="1" w:styleId="MenoPendente3">
    <w:name w:val="Menção Pendente3"/>
    <w:basedOn w:val="Fontepargpadro"/>
    <w:uiPriority w:val="99"/>
    <w:semiHidden/>
    <w:unhideWhenUsed/>
    <w:rPr>
      <w:color w:val="605E5C"/>
      <w:shd w:val="clear" w:color="auto" w:fill="E1DFDD"/>
    </w:rPr>
  </w:style>
  <w:style w:type="character" w:customStyle="1" w:styleId="TextodenotaderodapChar">
    <w:name w:val="Texto de nota de rodapé Char"/>
    <w:basedOn w:val="Fontepargpadro"/>
    <w:link w:val="Textodenotaderodap"/>
    <w:semiHidden/>
    <w:rPr>
      <w:rFonts w:ascii="Arial" w:hAnsi="Arial" w:cs="Tahoma"/>
    </w:rPr>
  </w:style>
  <w:style w:type="paragraph" w:customStyle="1" w:styleId="textojustificado">
    <w:name w:val="texto_justificado"/>
    <w:basedOn w:val="Normal"/>
    <w:pPr>
      <w:suppressAutoHyphens w:val="0"/>
      <w:spacing w:before="100" w:beforeAutospacing="1" w:after="100" w:afterAutospacing="1"/>
    </w:pPr>
    <w:rPr>
      <w:rFonts w:ascii="Times New Roman" w:hAnsi="Times New Roman" w:cs="Times New Roman"/>
      <w:sz w:val="24"/>
    </w:rPr>
  </w:style>
  <w:style w:type="paragraph" w:customStyle="1" w:styleId="Default">
    <w:name w:val="Default"/>
    <w:qFormat/>
    <w:rPr>
      <w:rFonts w:ascii="Arial" w:hAnsi="Arial" w:cs="Arial"/>
      <w:color w:val="000000"/>
      <w:sz w:val="24"/>
      <w:szCs w:val="24"/>
    </w:rPr>
  </w:style>
  <w:style w:type="character" w:customStyle="1" w:styleId="Pr-formataoHTMLChar">
    <w:name w:val="Pré-formatação HTML Char"/>
    <w:basedOn w:val="Fontepargpadro"/>
    <w:link w:val="Pr-formataoHTML"/>
    <w:uiPriority w:val="99"/>
    <w:semiHidden/>
    <w:rPr>
      <w:rFonts w:ascii="Courier New" w:hAnsi="Courier New" w:cs="Courier New"/>
    </w:rPr>
  </w:style>
  <w:style w:type="table" w:customStyle="1" w:styleId="TabeladeGrade4-nfase11">
    <w:name w:val="Tabela de Grade 4 - Ênfase 11"/>
    <w:basedOn w:val="Tabelanormal"/>
    <w:uiPriority w:val="49"/>
    <w:rPr>
      <w:rFonts w:asciiTheme="minorHAnsi" w:eastAsiaTheme="minorEastAsia" w:hAnsiTheme="minorHAnsi" w:cstheme="minorBidi"/>
      <w:sz w:val="22"/>
      <w:szCs w:val="22"/>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ombreamentoMdio1-nfase3Char">
    <w:name w:val="Sombreamento Médio 1 - Ênfase 3 Char"/>
    <w:link w:val="SombreamentoMdio1-nfase31"/>
    <w:uiPriority w:val="29"/>
    <w:rPr>
      <w:rFonts w:ascii="Ecofont_Spranq_eco_Sans" w:eastAsia="Calibri" w:hAnsi="Ecofont_Spranq_eco_Sans" w:cs="Tahoma"/>
      <w:i/>
      <w:iCs/>
      <w:color w:val="000000"/>
      <w:szCs w:val="24"/>
      <w:shd w:val="clear" w:color="auto" w:fill="FFFFCC"/>
      <w:lang w:eastAsia="zh-CN"/>
    </w:rPr>
  </w:style>
  <w:style w:type="paragraph" w:customStyle="1" w:styleId="ListaColorida-nfase11">
    <w:name w:val="Lista Colorida - Ênfase 11"/>
    <w:basedOn w:val="Normal"/>
    <w:uiPriority w:val="34"/>
    <w:pPr>
      <w:tabs>
        <w:tab w:val="left" w:pos="567"/>
        <w:tab w:val="left" w:pos="1134"/>
        <w:tab w:val="left" w:pos="1701"/>
        <w:tab w:val="left" w:pos="2268"/>
        <w:tab w:val="left" w:pos="2835"/>
      </w:tabs>
      <w:suppressAutoHyphens w:val="0"/>
      <w:spacing w:before="120" w:after="120" w:line="276" w:lineRule="auto"/>
      <w:ind w:left="720"/>
      <w:contextualSpacing/>
      <w:jc w:val="both"/>
    </w:pPr>
    <w:rPr>
      <w:rFonts w:ascii="Ecofont_Spranq_eco_Sans" w:eastAsia="Calibri" w:hAnsi="Ecofont_Spranq_eco_Sans" w:cs="Times New Roman"/>
      <w:szCs w:val="22"/>
      <w:lang w:eastAsia="en-US"/>
    </w:rPr>
  </w:style>
  <w:style w:type="paragraph" w:customStyle="1" w:styleId="SombreamentoMdio1-nfase310">
    <w:name w:val="Sombreamento Médio 1 - Ênfase 310"/>
    <w:basedOn w:val="Normal"/>
    <w:next w:val="Normal"/>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character" w:customStyle="1" w:styleId="GradeMdia2-nfase2Char">
    <w:name w:val="Grade Média 2 - Ênfase 2 Char"/>
    <w:link w:val="GradeMdia2-nfase21"/>
    <w:uiPriority w:val="29"/>
    <w:locked/>
    <w:rPr>
      <w:rFonts w:ascii="Ecofont_Spranq_eco_Sans" w:eastAsia="Calibri" w:hAnsi="Ecofont_Spranq_eco_Sans" w:cs="Tahoma"/>
      <w:i/>
      <w:iCs/>
      <w:color w:val="000000"/>
      <w:szCs w:val="24"/>
      <w:shd w:val="clear" w:color="auto" w:fill="FFFFCC"/>
      <w:lang w:eastAsia="en-US"/>
    </w:rPr>
  </w:style>
  <w:style w:type="paragraph" w:customStyle="1" w:styleId="GradeMdia2-nfase21">
    <w:name w:val="Grade Média 2 - Ênfase 21"/>
    <w:basedOn w:val="Normal"/>
    <w:next w:val="Normal"/>
    <w:link w:val="GradeMdia2-nfase2Char"/>
    <w:uiPriority w:val="29"/>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i/>
      <w:iCs/>
      <w:color w:val="000000"/>
      <w:lang w:eastAsia="en-US"/>
    </w:rPr>
  </w:style>
  <w:style w:type="character" w:customStyle="1" w:styleId="Nivel01Char">
    <w:name w:val="Nivel 01 Char"/>
    <w:basedOn w:val="Fontepargpadro"/>
    <w:link w:val="Nivel010"/>
    <w:locked/>
    <w:rPr>
      <w:rFonts w:ascii="Arial" w:eastAsiaTheme="majorEastAsia" w:hAnsi="Arial" w:cs="Arial"/>
      <w:b/>
      <w:bCs/>
    </w:rPr>
  </w:style>
  <w:style w:type="paragraph" w:customStyle="1" w:styleId="Nivel010">
    <w:name w:val="Nivel 01"/>
    <w:basedOn w:val="Ttulo1"/>
    <w:next w:val="Normal"/>
    <w:link w:val="Nivel01Char"/>
    <w:qFormat/>
    <w:pPr>
      <w:tabs>
        <w:tab w:val="left" w:pos="567"/>
      </w:tabs>
      <w:suppressAutoHyphens w:val="0"/>
      <w:ind w:left="360" w:hanging="360"/>
      <w:jc w:val="both"/>
    </w:pPr>
    <w:rPr>
      <w:rFonts w:ascii="Arial" w:eastAsiaTheme="majorEastAsia" w:hAnsi="Arial" w:cs="Arial"/>
      <w:b/>
      <w:bCs/>
      <w:color w:val="auto"/>
      <w:sz w:val="20"/>
      <w:szCs w:val="20"/>
    </w:rPr>
  </w:style>
  <w:style w:type="character" w:customStyle="1" w:styleId="Nivel3Char">
    <w:name w:val="Nivel 3 Char"/>
    <w:basedOn w:val="Fontepargpadro"/>
    <w:link w:val="Nivel3"/>
    <w:locked/>
    <w:rPr>
      <w:rFonts w:ascii="Ecofont_Spranq_eco_Sans" w:eastAsia="Arial Unicode MS" w:hAnsi="Ecofont_Spranq_eco_Sans" w:cs="Arial"/>
      <w:color w:val="000000"/>
    </w:rPr>
  </w:style>
  <w:style w:type="character" w:customStyle="1" w:styleId="Nivel4Char">
    <w:name w:val="Nivel 4 Char"/>
    <w:basedOn w:val="Fontepargpadro"/>
    <w:link w:val="Nivel4"/>
    <w:locked/>
    <w:rPr>
      <w:rFonts w:ascii="Ecofont_Spranq_eco_Sans" w:eastAsia="Arial Unicode MS" w:hAnsi="Ecofont_Spranq_eco_Sans" w:cs="Arial"/>
    </w:rPr>
  </w:style>
  <w:style w:type="character" w:customStyle="1" w:styleId="ouChar">
    <w:name w:val="ou Char"/>
    <w:basedOn w:val="PargrafodaListaChar"/>
    <w:link w:val="ou"/>
    <w:locked/>
    <w:rPr>
      <w:rFonts w:ascii="Arial" w:eastAsiaTheme="minorHAnsi" w:hAnsi="Arial" w:cs="Arial"/>
      <w:b/>
      <w:bCs/>
      <w:i/>
      <w:iCs/>
      <w:color w:val="FF0000"/>
      <w:sz w:val="24"/>
      <w:szCs w:val="24"/>
      <w:u w:val="single"/>
    </w:rPr>
  </w:style>
  <w:style w:type="paragraph" w:customStyle="1" w:styleId="ou">
    <w:name w:val="ou"/>
    <w:basedOn w:val="PargrafodaLista"/>
    <w:link w:val="ouChar"/>
    <w:qFormat/>
    <w:pPr>
      <w:suppressAutoHyphens w:val="0"/>
      <w:spacing w:before="60" w:after="60" w:line="256" w:lineRule="auto"/>
      <w:ind w:left="0"/>
      <w:contextualSpacing w:val="0"/>
      <w:jc w:val="center"/>
    </w:pPr>
    <w:rPr>
      <w:rFonts w:eastAsiaTheme="minorHAnsi" w:cs="Arial"/>
      <w:b/>
      <w:bCs/>
      <w:i/>
      <w:iCs/>
      <w:color w:val="FF0000"/>
      <w:sz w:val="24"/>
      <w:u w:val="single"/>
    </w:rPr>
  </w:style>
  <w:style w:type="character" w:customStyle="1" w:styleId="Nvel2-RedChar">
    <w:name w:val="Nível 2 -Red Char"/>
    <w:basedOn w:val="Nivel2Char"/>
    <w:link w:val="Nvel2-Red"/>
    <w:locked/>
    <w:rPr>
      <w:rFonts w:ascii="Arial" w:eastAsia="Arial Unicode MS" w:hAnsi="Arial" w:cs="Arial"/>
      <w:i/>
      <w:iCs/>
      <w:color w:val="FF0000"/>
    </w:rPr>
  </w:style>
  <w:style w:type="paragraph" w:customStyle="1" w:styleId="Nvel2-Red">
    <w:name w:val="Nível 2 -Red"/>
    <w:basedOn w:val="Nivel2"/>
    <w:link w:val="Nvel2-RedChar"/>
    <w:qFormat/>
    <w:pPr>
      <w:ind w:left="4969"/>
    </w:pPr>
    <w:rPr>
      <w:rFonts w:ascii="Arial" w:eastAsia="Times New Roman" w:hAnsi="Arial" w:cs="Arial"/>
      <w:i/>
      <w:iCs/>
      <w:color w:val="FF0000"/>
    </w:rPr>
  </w:style>
  <w:style w:type="character" w:customStyle="1" w:styleId="Nvel3-RChar">
    <w:name w:val="Nível 3-R Char"/>
    <w:basedOn w:val="Nivel3Char"/>
    <w:link w:val="Nvel3-R"/>
    <w:locked/>
    <w:rPr>
      <w:rFonts w:ascii="Ecofont_Spranq_eco_Sans" w:eastAsia="Arial Unicode MS" w:hAnsi="Ecofont_Spranq_eco_Sans" w:cs="Arial"/>
      <w:i/>
      <w:iCs/>
      <w:color w:val="FF0000"/>
    </w:rPr>
  </w:style>
  <w:style w:type="paragraph" w:customStyle="1" w:styleId="Nvel3-R">
    <w:name w:val="Nível 3-R"/>
    <w:basedOn w:val="Nivel3"/>
    <w:link w:val="Nvel3-RChar"/>
    <w:qFormat/>
    <w:pPr>
      <w:tabs>
        <w:tab w:val="clear" w:pos="360"/>
      </w:tabs>
      <w:ind w:left="425" w:firstLine="0"/>
    </w:pPr>
    <w:rPr>
      <w:i/>
      <w:iCs/>
      <w:color w:val="FF0000"/>
    </w:rPr>
  </w:style>
  <w:style w:type="character" w:customStyle="1" w:styleId="Nvel4-RChar">
    <w:name w:val="Nível 4-R Char"/>
    <w:basedOn w:val="Nivel4Char"/>
    <w:link w:val="Nvel4-R"/>
    <w:locked/>
    <w:rPr>
      <w:rFonts w:ascii="Ecofont_Spranq_eco_Sans" w:eastAsia="Arial Unicode MS" w:hAnsi="Ecofont_Spranq_eco_Sans" w:cs="Arial"/>
      <w:i/>
      <w:iCs/>
      <w:color w:val="FF0000"/>
    </w:rPr>
  </w:style>
  <w:style w:type="paragraph" w:customStyle="1" w:styleId="Nvel4-R">
    <w:name w:val="Nível 4-R"/>
    <w:basedOn w:val="Nivel4"/>
    <w:link w:val="Nvel4-RChar"/>
    <w:qFormat/>
    <w:pPr>
      <w:tabs>
        <w:tab w:val="clear" w:pos="360"/>
      </w:tabs>
      <w:ind w:left="2491" w:hanging="648"/>
    </w:pPr>
    <w:rPr>
      <w:i/>
      <w:iCs/>
      <w:color w:val="FF0000"/>
    </w:rPr>
  </w:style>
  <w:style w:type="character" w:customStyle="1" w:styleId="PrembuloChar">
    <w:name w:val="Preâmbulo Char"/>
    <w:basedOn w:val="Fontepargpadro"/>
    <w:link w:val="Prembulo"/>
    <w:locked/>
    <w:rPr>
      <w:rFonts w:ascii="Arial" w:eastAsia="Arial" w:hAnsi="Arial" w:cs="Arial"/>
      <w:bCs/>
    </w:rPr>
  </w:style>
  <w:style w:type="paragraph" w:customStyle="1" w:styleId="Prembulo">
    <w:name w:val="Preâmbulo"/>
    <w:basedOn w:val="Normal"/>
    <w:link w:val="PrembuloChar"/>
    <w:qFormat/>
    <w:pPr>
      <w:suppressAutoHyphens w:val="0"/>
      <w:spacing w:before="480" w:after="120" w:line="360" w:lineRule="auto"/>
      <w:ind w:left="4253" w:right="-17"/>
      <w:jc w:val="both"/>
    </w:pPr>
    <w:rPr>
      <w:rFonts w:eastAsia="Arial" w:cs="Arial"/>
      <w:bCs/>
      <w:szCs w:val="20"/>
    </w:rPr>
  </w:style>
  <w:style w:type="paragraph" w:customStyle="1" w:styleId="Notaexplicativa">
    <w:name w:val="Nota explicativa"/>
    <w:basedOn w:val="Citao"/>
    <w:link w:val="NotaexplicativaChar"/>
    <w:qFormat/>
    <w:pPr>
      <w:suppressAutoHyphens w:val="0"/>
    </w:pPr>
    <w:rPr>
      <w:rFonts w:ascii="Arial" w:hAnsi="Arial" w:cs="Tahoma"/>
    </w:rPr>
  </w:style>
  <w:style w:type="character" w:customStyle="1" w:styleId="NotaexplicativaChar">
    <w:name w:val="Nota explicativa Char"/>
    <w:basedOn w:val="CitaoChar"/>
    <w:link w:val="Notaexplicativa"/>
    <w:rPr>
      <w:rFonts w:ascii="Arial" w:eastAsia="Calibri" w:hAnsi="Arial" w:cs="Tahoma"/>
      <w:i/>
      <w:iCs/>
      <w:color w:val="000000"/>
      <w:szCs w:val="24"/>
      <w:shd w:val="clear" w:color="auto" w:fill="FFFFCC"/>
      <w:lang w:eastAsia="en-US"/>
    </w:rPr>
  </w:style>
  <w:style w:type="character" w:customStyle="1" w:styleId="TtuloChar">
    <w:name w:val="Título Char"/>
    <w:basedOn w:val="Fontepargpadro"/>
    <w:link w:val="Ttulo"/>
    <w:rPr>
      <w:rFonts w:ascii="Liberation Sans" w:eastAsia="Microsoft YaHei" w:hAnsi="Liberation Sans" w:cs="Mangal"/>
      <w:sz w:val="28"/>
      <w:szCs w:val="28"/>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paragraph">
    <w:name w:val="paragraph"/>
    <w:basedOn w:val="Normal"/>
    <w:pPr>
      <w:suppressAutoHyphens w:val="0"/>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style>
  <w:style w:type="character" w:customStyle="1" w:styleId="eop">
    <w:name w:val="eop"/>
    <w:basedOn w:val="Fontepargpadro"/>
  </w:style>
  <w:style w:type="character" w:customStyle="1" w:styleId="spellingerror">
    <w:name w:val="spellingerror"/>
    <w:basedOn w:val="Fontepargpadro"/>
  </w:style>
  <w:style w:type="paragraph" w:customStyle="1" w:styleId="textbody">
    <w:name w:val="textbody"/>
    <w:basedOn w:val="Normal"/>
    <w:pPr>
      <w:suppressAutoHyphens w:val="0"/>
      <w:spacing w:before="100" w:beforeAutospacing="1" w:after="100" w:afterAutospacing="1"/>
    </w:pPr>
    <w:rPr>
      <w:rFonts w:ascii="Times New Roman" w:hAnsi="Times New Roman" w:cs="Times New Roman"/>
      <w:sz w:val="24"/>
    </w:rPr>
  </w:style>
  <w:style w:type="paragraph" w:customStyle="1" w:styleId="em0020ementa">
    <w:name w:val="em_0020ementa"/>
    <w:basedOn w:val="Normal"/>
    <w:pPr>
      <w:suppressAutoHyphens w:val="0"/>
      <w:ind w:left="4160"/>
      <w:jc w:val="both"/>
    </w:pPr>
    <w:rPr>
      <w:rFonts w:ascii="Times New Roman" w:hAnsi="Times New Roman" w:cs="Times New Roman"/>
      <w:sz w:val="28"/>
      <w:szCs w:val="28"/>
    </w:rPr>
  </w:style>
  <w:style w:type="character" w:customStyle="1" w:styleId="cp0020corpodespachochar1">
    <w:name w:val="cp_0020corpodespacho__char1"/>
    <w:rPr>
      <w:rFonts w:ascii="Times New Roman" w:hAnsi="Times New Roman" w:cs="Times New Roman" w:hint="default"/>
      <w:sz w:val="26"/>
      <w:szCs w:val="26"/>
      <w:u w:val="none"/>
    </w:rPr>
  </w:style>
  <w:style w:type="character" w:customStyle="1" w:styleId="em0020ementachar1">
    <w:name w:val="em_0020ementa__char1"/>
    <w:rPr>
      <w:rFonts w:ascii="Times New Roman" w:hAnsi="Times New Roman" w:cs="Times New Roman" w:hint="default"/>
      <w:sz w:val="28"/>
      <w:szCs w:val="28"/>
      <w:u w:val="none"/>
    </w:rPr>
  </w:style>
  <w:style w:type="character" w:customStyle="1" w:styleId="Manoel">
    <w:name w:val="Manoel"/>
    <w:rPr>
      <w:rFonts w:ascii="Arial" w:hAnsi="Arial" w:cs="Arial"/>
      <w:color w:val="7030A0"/>
      <w:sz w:val="20"/>
    </w:rPr>
  </w:style>
  <w:style w:type="character" w:customStyle="1" w:styleId="ListLabel12">
    <w:name w:val="ListLabel 12"/>
    <w:rPr>
      <w:b/>
    </w:rPr>
  </w:style>
  <w:style w:type="paragraph" w:customStyle="1" w:styleId="texto1">
    <w:name w:val="texto1"/>
    <w:basedOn w:val="Normal"/>
    <w:pPr>
      <w:suppressAutoHyphens w:val="0"/>
      <w:spacing w:before="100" w:beforeAutospacing="1" w:after="100" w:afterAutospacing="1"/>
    </w:pPr>
    <w:rPr>
      <w:rFonts w:ascii="Times New Roman" w:hAnsi="Times New Roman" w:cs="Times New Roman"/>
      <w:sz w:val="24"/>
    </w:rPr>
  </w:style>
  <w:style w:type="paragraph" w:customStyle="1" w:styleId="xwestern">
    <w:name w:val="x_western"/>
    <w:basedOn w:val="Normal"/>
    <w:pPr>
      <w:suppressAutoHyphens w:val="0"/>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pPr>
      <w:suppressAutoHyphens w:val="0"/>
      <w:ind w:firstLine="1134"/>
      <w:jc w:val="both"/>
    </w:pPr>
    <w:rPr>
      <w:rFonts w:ascii="Times New Roman" w:hAnsi="Times New Roman" w:cs="Times New Roman"/>
      <w:sz w:val="24"/>
      <w:szCs w:val="22"/>
      <w:lang w:eastAsia="en-US"/>
    </w:rPr>
  </w:style>
  <w:style w:type="paragraph" w:customStyle="1" w:styleId="Normal1">
    <w:name w:val="Normal_1"/>
    <w:rPr>
      <w:sz w:val="24"/>
      <w:szCs w:val="22"/>
      <w:lang w:eastAsia="en-US"/>
    </w:rPr>
  </w:style>
  <w:style w:type="paragraph" w:customStyle="1" w:styleId="tcu-ac-item9-1linha">
    <w:name w:val="tcu_-__ac_-_item_9_-_1ª_linha"/>
    <w:basedOn w:val="Normal"/>
    <w:pPr>
      <w:suppressAutoHyphens w:val="0"/>
      <w:spacing w:before="100" w:beforeAutospacing="1" w:after="100" w:afterAutospacing="1"/>
    </w:pPr>
    <w:rPr>
      <w:rFonts w:ascii="Times New Roman" w:hAnsi="Times New Roman" w:cs="Times New Roman"/>
      <w:sz w:val="24"/>
    </w:rPr>
  </w:style>
  <w:style w:type="paragraph" w:customStyle="1" w:styleId="textojustificadorecuoprimeiralinha0">
    <w:name w:val="texto_justificado_recuo_primeira_linha"/>
    <w:basedOn w:val="Normal"/>
    <w:pPr>
      <w:suppressAutoHyphens w:val="0"/>
      <w:spacing w:before="100" w:beforeAutospacing="1" w:after="100" w:afterAutospacing="1"/>
    </w:pPr>
    <w:rPr>
      <w:rFonts w:ascii="Times New Roman" w:hAnsi="Times New Roman" w:cs="Times New Roman"/>
      <w:sz w:val="24"/>
    </w:rPr>
  </w:style>
  <w:style w:type="character" w:customStyle="1" w:styleId="highlight">
    <w:name w:val="highlight"/>
    <w:basedOn w:val="Fontepargpadro"/>
  </w:style>
  <w:style w:type="paragraph" w:customStyle="1" w:styleId="Nvel2Opcional">
    <w:name w:val="Nível 2 Opcional"/>
    <w:basedOn w:val="Nivel2"/>
    <w:link w:val="Nvel2OpcionalChar"/>
    <w:pPr>
      <w:numPr>
        <w:ilvl w:val="0"/>
        <w:numId w:val="0"/>
      </w:numPr>
      <w:ind w:left="432" w:hanging="432"/>
    </w:pPr>
    <w:rPr>
      <w:rFonts w:ascii="Arial" w:eastAsia="Times New Roman" w:hAnsi="Arial" w:cs="Arial"/>
      <w:i/>
      <w:color w:val="FF0000"/>
    </w:rPr>
  </w:style>
  <w:style w:type="paragraph" w:customStyle="1" w:styleId="Nvel3Opcional">
    <w:name w:val="Nível 3 Opcional"/>
    <w:basedOn w:val="Nivel3"/>
    <w:link w:val="Nvel3OpcionalChar"/>
    <w:pPr>
      <w:numPr>
        <w:ilvl w:val="0"/>
        <w:numId w:val="0"/>
      </w:numPr>
      <w:ind w:left="1072" w:hanging="504"/>
    </w:pPr>
    <w:rPr>
      <w:rFonts w:ascii="Arial" w:eastAsia="Times New Roman" w:hAnsi="Arial"/>
      <w:i/>
      <w:iCs/>
      <w:color w:val="FF0000"/>
    </w:rPr>
  </w:style>
  <w:style w:type="character" w:customStyle="1" w:styleId="Nvel2OpcionalChar">
    <w:name w:val="Nível 2 Opcional Char"/>
    <w:basedOn w:val="Fontepargpadro"/>
    <w:link w:val="Nvel2Opcional"/>
    <w:rPr>
      <w:rFonts w:ascii="Arial" w:hAnsi="Arial" w:cs="Arial"/>
      <w:i/>
      <w:color w:val="FF0000"/>
    </w:rPr>
  </w:style>
  <w:style w:type="character" w:customStyle="1" w:styleId="Nvel3OpcionalChar">
    <w:name w:val="Nível 3 Opcional Char"/>
    <w:basedOn w:val="Fontepargpadro"/>
    <w:link w:val="Nvel3Opcional"/>
    <w:rPr>
      <w:rFonts w:ascii="Arial" w:hAnsi="Arial" w:cs="Arial"/>
      <w:i/>
      <w:iCs/>
      <w:color w:val="FF0000"/>
    </w:rPr>
  </w:style>
  <w:style w:type="paragraph" w:customStyle="1" w:styleId="corpo0">
    <w:name w:val="corpo"/>
    <w:basedOn w:val="Normal"/>
    <w:pPr>
      <w:suppressAutoHyphens w:val="0"/>
      <w:spacing w:before="100" w:beforeAutospacing="1" w:after="100" w:afterAutospacing="1"/>
    </w:pPr>
    <w:rPr>
      <w:rFonts w:ascii="Times New Roman" w:hAnsi="Times New Roman" w:cs="Times New Roman"/>
      <w:sz w:val="24"/>
    </w:rPr>
  </w:style>
  <w:style w:type="paragraph" w:customStyle="1" w:styleId="itemnivel2">
    <w:name w:val="item_nivel2"/>
    <w:basedOn w:val="Normal"/>
    <w:pPr>
      <w:suppressAutoHyphens w:val="0"/>
      <w:spacing w:before="100" w:beforeAutospacing="1" w:after="100" w:afterAutospacing="1"/>
    </w:pPr>
    <w:rPr>
      <w:rFonts w:ascii="Times New Roman" w:hAnsi="Times New Roman" w:cs="Times New Roman"/>
      <w:sz w:val="24"/>
    </w:rPr>
  </w:style>
  <w:style w:type="paragraph" w:customStyle="1" w:styleId="itemnivel1">
    <w:name w:val="item_nivel1"/>
    <w:basedOn w:val="Normal"/>
    <w:pPr>
      <w:suppressAutoHyphens w:val="0"/>
      <w:spacing w:before="100" w:beforeAutospacing="1" w:after="100" w:afterAutospacing="1"/>
    </w:pPr>
    <w:rPr>
      <w:rFonts w:ascii="Times New Roman" w:hAnsi="Times New Roman" w:cs="Times New Roman"/>
      <w:sz w:val="24"/>
    </w:rPr>
  </w:style>
  <w:style w:type="paragraph" w:customStyle="1" w:styleId="itemalinealetra">
    <w:name w:val="item_alinea_letra"/>
    <w:basedOn w:val="Normal"/>
    <w:pPr>
      <w:suppressAutoHyphens w:val="0"/>
      <w:spacing w:before="100" w:beforeAutospacing="1" w:after="100" w:afterAutospacing="1"/>
    </w:pPr>
    <w:rPr>
      <w:rFonts w:ascii="Times New Roman" w:hAnsi="Times New Roman" w:cs="Times New Roman"/>
      <w:sz w:val="24"/>
    </w:rPr>
  </w:style>
  <w:style w:type="character" w:customStyle="1" w:styleId="markedcontent">
    <w:name w:val="markedcontent"/>
    <w:basedOn w:val="Fontepargpadro"/>
  </w:style>
  <w:style w:type="paragraph" w:customStyle="1" w:styleId="Textbody0">
    <w:name w:val="Text body"/>
    <w:basedOn w:val="Standard"/>
    <w:pPr>
      <w:widowControl/>
      <w:autoSpaceDN w:val="0"/>
      <w:spacing w:after="140" w:line="276" w:lineRule="auto"/>
      <w:textAlignment w:val="auto"/>
    </w:pPr>
    <w:rPr>
      <w:rFonts w:ascii="Liberation Serif" w:eastAsia="NSimSun" w:hAnsi="Liberation Serif" w:cs="Lucida Sans"/>
      <w:kern w:val="3"/>
    </w:rPr>
  </w:style>
  <w:style w:type="character" w:customStyle="1" w:styleId="MenoPendente30">
    <w:name w:val="Menção Pendente3"/>
    <w:basedOn w:val="Fontepargpadro"/>
    <w:uiPriority w:val="99"/>
    <w:semiHidden/>
    <w:unhideWhenUsed/>
    <w:rPr>
      <w:color w:val="605E5C"/>
      <w:shd w:val="clear" w:color="auto" w:fill="E1DFDD"/>
    </w:rPr>
  </w:style>
  <w:style w:type="character" w:customStyle="1" w:styleId="MenoPendente4">
    <w:name w:val="Menção Pendente4"/>
    <w:basedOn w:val="Fontepargpadro"/>
    <w:uiPriority w:val="99"/>
    <w:semiHidden/>
    <w:unhideWhenUsed/>
    <w:rPr>
      <w:color w:val="605E5C"/>
      <w:shd w:val="clear" w:color="auto" w:fill="E1DFDD"/>
    </w:rPr>
  </w:style>
  <w:style w:type="paragraph" w:customStyle="1" w:styleId="Nvel1-SemNum">
    <w:name w:val="Nível 1-Sem Num"/>
    <w:basedOn w:val="Nivel010"/>
    <w:link w:val="Nvel1-SemNumChar"/>
    <w:qFormat/>
    <w:pPr>
      <w:ind w:left="357" w:firstLine="0"/>
      <w:outlineLvl w:val="1"/>
    </w:pPr>
    <w:rPr>
      <w:color w:val="FF0000"/>
    </w:rPr>
  </w:style>
  <w:style w:type="character" w:customStyle="1" w:styleId="Nvel1-SemNumChar">
    <w:name w:val="Nível 1-Sem Num Char"/>
    <w:basedOn w:val="Nivel01Char"/>
    <w:link w:val="Nvel1-SemNum"/>
    <w:rPr>
      <w:rFonts w:ascii="Arial" w:eastAsiaTheme="majorEastAsia" w:hAnsi="Arial" w:cs="Arial"/>
      <w:b/>
      <w:bCs/>
      <w:color w:val="FF0000"/>
    </w:rPr>
  </w:style>
  <w:style w:type="character" w:customStyle="1" w:styleId="MenoPendente5">
    <w:name w:val="Menção Pendente5"/>
    <w:basedOn w:val="Fontepargpadro"/>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5-2018/2018/lei/l13709.htm" TargetMode="External"/><Relationship Id="rId47" Type="http://schemas.openxmlformats.org/officeDocument/2006/relationships/hyperlink" Target="https://www.in.gov.br/en/web/dou/-/circular-susep-n-662-de-11-de-abril-de-2022-392772088"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leis/l8078compilado.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90" Type="http://schemas.openxmlformats.org/officeDocument/2006/relationships/header" Target="head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gov.br/compras/pt-br/acesso-a-informacao/legislacao/instrucoes-normativas/instrucao-normativa-seges-me-no-26-de-13-de-abril-de-2022"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8/lei/l13709.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3/lei/l12846.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078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1/lei/l12527.htm" TargetMode="Externa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8/lei/l13709.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s://www.planalto.gov.br/ccivil_03/leis/2002/l10406compilada.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2/decreto/d7724.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90A9F44B-BF1A-454B-AC46-2BCA2593E99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28</Pages>
  <Words>10827</Words>
  <Characters>58467</Characters>
  <Application>Microsoft Office Word</Application>
  <DocSecurity>0</DocSecurity>
  <Lines>487</Lines>
  <Paragraphs>138</Paragraphs>
  <ScaleCrop>false</ScaleCrop>
  <Company/>
  <LinksUpToDate>false</LinksUpToDate>
  <CharactersWithSpaces>69156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Juliana Borsoi</cp:lastModifiedBy>
  <cp:revision>7</cp:revision>
  <cp:lastPrinted>2023-06-15T14:59:00Z</cp:lastPrinted>
  <dcterms:created xsi:type="dcterms:W3CDTF">2023-02-25T03:02:00Z</dcterms:created>
  <dcterms:modified xsi:type="dcterms:W3CDTF">2023-06-15T14:59:00Z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1046-11.2.0.11516</vt:lpwstr>
  </property>
  <property fmtid="{D5CDD505-2E9C-101B-9397-08002B2CF9AE}" pid="3" name="ICV">
    <vt:lpwstr>F827A5C292284EA6BA02C752D303AF52</vt:lpwstr>
  </property>
</Properties>
</file>